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1291-2021-QJEO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衡水华通通信网络工程有限责任公司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303"/>
        <w:gridCol w:w="1119"/>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衡水华通通信网络工程有限责任公司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168" w:type="dxa"/>
            <w:gridSpan w:val="3"/>
          </w:tcPr>
          <w:p>
            <w:bookmarkStart w:id="5" w:name="注册地址"/>
            <w:r>
              <w:t>衡水市桃城区中华大街281号泰一尚城2号楼1221室</w:t>
            </w:r>
            <w:bookmarkEnd w:id="5"/>
          </w:p>
        </w:tc>
        <w:tc>
          <w:tcPr>
            <w:tcW w:w="1119" w:type="dxa"/>
            <w:vMerge w:val="restart"/>
            <w:vAlign w:val="center"/>
          </w:tcPr>
          <w:p>
            <w:r>
              <w:rPr>
                <w:rFonts w:hint="eastAsia"/>
              </w:rPr>
              <w:t>邮编</w:t>
            </w:r>
          </w:p>
        </w:tc>
        <w:tc>
          <w:tcPr>
            <w:tcW w:w="1771" w:type="dxa"/>
          </w:tcPr>
          <w:p>
            <w:bookmarkStart w:id="6" w:name="注册邮编"/>
            <w:r>
              <w:t>053000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168" w:type="dxa"/>
            <w:gridSpan w:val="3"/>
          </w:tcPr>
          <w:p>
            <w:bookmarkStart w:id="7" w:name="生产地址"/>
            <w:r>
              <w:t>衡水市桃城区中华大街281号泰一尚城2号楼1221室</w:t>
            </w:r>
            <w:bookmarkEnd w:id="7"/>
          </w:p>
        </w:tc>
        <w:tc>
          <w:tcPr>
            <w:tcW w:w="1119" w:type="dxa"/>
            <w:vMerge w:val="continue"/>
            <w:vAlign w:val="center"/>
          </w:tcPr>
          <w:p/>
        </w:tc>
        <w:tc>
          <w:tcPr>
            <w:tcW w:w="1771" w:type="dxa"/>
          </w:tcPr>
          <w:p>
            <w:bookmarkStart w:id="8" w:name="办公邮编"/>
            <w:r>
              <w:t>053000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安景治</w:t>
            </w:r>
            <w:bookmarkEnd w:id="9"/>
          </w:p>
        </w:tc>
        <w:tc>
          <w:tcPr>
            <w:tcW w:w="1313" w:type="dxa"/>
            <w:vAlign w:val="center"/>
          </w:tcPr>
          <w:p>
            <w:r>
              <w:rPr>
                <w:rFonts w:hint="eastAsia"/>
              </w:rPr>
              <w:t>电话.</w:t>
            </w:r>
          </w:p>
        </w:tc>
        <w:tc>
          <w:tcPr>
            <w:tcW w:w="2303" w:type="dxa"/>
            <w:vAlign w:val="center"/>
          </w:tcPr>
          <w:p>
            <w:bookmarkStart w:id="10" w:name="联系人电话"/>
            <w:r>
              <w:t>13031851555</w:t>
            </w:r>
            <w:bookmarkEnd w:id="10"/>
          </w:p>
        </w:tc>
        <w:tc>
          <w:tcPr>
            <w:tcW w:w="1119"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高荣霞</w:t>
            </w:r>
            <w:bookmarkEnd w:id="12"/>
          </w:p>
        </w:tc>
        <w:tc>
          <w:tcPr>
            <w:tcW w:w="1313" w:type="dxa"/>
            <w:vAlign w:val="center"/>
          </w:tcPr>
          <w:p>
            <w:r>
              <w:rPr>
                <w:rFonts w:hint="eastAsia"/>
              </w:rPr>
              <w:t>管理者代表</w:t>
            </w:r>
          </w:p>
        </w:tc>
        <w:tc>
          <w:tcPr>
            <w:tcW w:w="2303" w:type="dxa"/>
          </w:tcPr>
          <w:p>
            <w:r>
              <w:t>安景治</w:t>
            </w:r>
          </w:p>
        </w:tc>
        <w:tc>
          <w:tcPr>
            <w:tcW w:w="1119"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color w:val="000000"/>
                <w:sz w:val="21"/>
                <w:szCs w:val="21"/>
              </w:rPr>
              <w:t>施工准备-材料设备进场-</w:t>
            </w:r>
            <w:r>
              <w:rPr>
                <w:rFonts w:hint="eastAsia" w:ascii="楷体" w:hAnsi="楷体" w:eastAsia="楷体" w:cs="楷体"/>
                <w:sz w:val="21"/>
                <w:szCs w:val="21"/>
              </w:rPr>
              <w:t>施工过程控制</w:t>
            </w:r>
            <w:r>
              <w:rPr>
                <w:rFonts w:hint="eastAsia" w:ascii="楷体" w:hAnsi="楷体" w:eastAsia="楷体" w:cs="楷体"/>
                <w:color w:val="000000"/>
                <w:sz w:val="21"/>
                <w:szCs w:val="21"/>
              </w:rPr>
              <w:t>-</w:t>
            </w:r>
            <w:r>
              <w:rPr>
                <w:rFonts w:hint="eastAsia" w:ascii="楷体" w:hAnsi="楷体" w:eastAsia="楷体" w:cs="楷体"/>
                <w:color w:val="000000"/>
                <w:sz w:val="21"/>
                <w:szCs w:val="21"/>
                <w:lang w:val="en-US" w:eastAsia="zh-CN"/>
              </w:rPr>
              <w:t>分部分项工程</w:t>
            </w:r>
            <w:r>
              <w:rPr>
                <w:rFonts w:hint="eastAsia" w:ascii="楷体" w:hAnsi="楷体" w:eastAsia="楷体" w:cs="楷体"/>
                <w:color w:val="000000"/>
                <w:sz w:val="21"/>
                <w:szCs w:val="21"/>
              </w:rPr>
              <w:t>验收-竣工预验收-竣工验收-工程交付-保修服务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2021年12月17日 下午至2021年12月20日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1"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szCs w:val="21"/>
                <w:lang w:val="en-US" w:eastAsia="zh-CN"/>
              </w:rPr>
              <w:t>+</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5"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Cs w:val="21"/>
              </w:rPr>
              <w:t>衡水市桃城区中华大街281号泰一尚城2号楼1221室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rPr>
                <w:rFonts w:ascii="宋体"/>
                <w:b/>
                <w:color w:val="0000FF"/>
                <w:szCs w:val="21"/>
              </w:rPr>
            </w:pPr>
            <w:r>
              <w:rPr>
                <w:rFonts w:hint="eastAsia" w:ascii="宋体"/>
                <w:b/>
                <w:color w:val="0000FF"/>
                <w:szCs w:val="21"/>
              </w:rPr>
              <w:t>□可穿戴技术□人工智能□其他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5" w:name="审核范围"/>
            <w:r>
              <w:t>EC：资质范围内的通信工程施工总承包</w:t>
            </w:r>
          </w:p>
          <w:p>
            <w:r>
              <w:t>E：资质范围内的通信工程施工总承包所涉及场所的相关环境管理活动</w:t>
            </w:r>
          </w:p>
          <w:p>
            <w:r>
              <w:t>O：资质范围内的通信工程施工总承包所涉及场所的相关职业健康安全管理活动</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EC：28.04.02</w:t>
            </w:r>
          </w:p>
          <w:p>
            <w:r>
              <w:t>E：28.04.02</w:t>
            </w:r>
          </w:p>
          <w:p>
            <w:r>
              <w:t>O：28.04.02</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135"/>
        <w:gridCol w:w="2000"/>
        <w:gridCol w:w="609"/>
        <w:gridCol w:w="2091"/>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1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91"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135" w:type="dxa"/>
          </w:tcPr>
          <w:p>
            <w:pPr>
              <w:spacing w:before="40" w:after="40"/>
              <w:rPr>
                <w:rFonts w:eastAsia="黑体"/>
                <w:szCs w:val="21"/>
                <w:lang w:val="de-DE" w:eastAsia="ja-JP"/>
              </w:rPr>
            </w:pPr>
            <w:r>
              <w:rPr>
                <w:sz w:val="21"/>
                <w:szCs w:val="21"/>
              </w:rPr>
              <w:t>衡水华通通信网络工程有限责任公司</w:t>
            </w:r>
            <w:r>
              <w:rPr>
                <w:rFonts w:hint="eastAsia"/>
                <w:sz w:val="21"/>
                <w:szCs w:val="21"/>
                <w:lang w:val="en-US" w:eastAsia="zh-CN"/>
              </w:rPr>
              <w:t>/</w:t>
            </w:r>
            <w:r>
              <w:rPr>
                <w:szCs w:val="21"/>
              </w:rPr>
              <w:t>衡水市桃城区中华大街281号泰一尚城2号楼1221室</w:t>
            </w:r>
          </w:p>
        </w:tc>
        <w:tc>
          <w:tcPr>
            <w:tcW w:w="2000" w:type="dxa"/>
          </w:tcPr>
          <w:p>
            <w:pPr>
              <w:spacing w:before="40" w:after="40"/>
              <w:rPr>
                <w:rFonts w:eastAsia="黑体"/>
                <w:szCs w:val="21"/>
                <w:lang w:val="de-DE" w:eastAsia="ja-JP"/>
              </w:rPr>
            </w:pPr>
            <w:r>
              <w:rPr>
                <w:szCs w:val="21"/>
              </w:rPr>
              <w:t>衡水市桃城区中华大街281号泰一尚城2号楼1221室</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34</w:t>
            </w:r>
          </w:p>
        </w:tc>
        <w:tc>
          <w:tcPr>
            <w:tcW w:w="2091" w:type="dxa"/>
            <w:vAlign w:val="center"/>
          </w:tcPr>
          <w:p>
            <w:pPr>
              <w:pStyle w:val="22"/>
              <w:rPr>
                <w:rFonts w:eastAsia="黑体" w:cs="Arial"/>
                <w:sz w:val="21"/>
                <w:szCs w:val="21"/>
                <w:lang w:val="en-US" w:eastAsia="ja-JP"/>
              </w:rPr>
            </w:pPr>
            <w:r>
              <w:rPr>
                <w:sz w:val="21"/>
                <w:szCs w:val="21"/>
              </w:rPr>
              <w:t>资质范围内的通信工程施工总承包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135" w:type="dxa"/>
            <w:vAlign w:val="center"/>
          </w:tcPr>
          <w:p>
            <w:pPr>
              <w:spacing w:before="40" w:after="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临时场所</w:t>
            </w:r>
          </w:p>
        </w:tc>
        <w:tc>
          <w:tcPr>
            <w:tcW w:w="2000" w:type="dxa"/>
            <w:vAlign w:val="center"/>
          </w:tcPr>
          <w:p>
            <w:pPr>
              <w:spacing w:before="40" w:after="40"/>
              <w:rPr>
                <w:rFonts w:hint="default" w:ascii="Times New Roman" w:hAnsi="Times New Roman" w:eastAsia="宋体" w:cs="Times New Roman"/>
                <w:sz w:val="21"/>
                <w:szCs w:val="21"/>
                <w:lang w:val="en-US" w:eastAsia="zh-CN"/>
              </w:rPr>
            </w:pPr>
            <w:r>
              <w:rPr>
                <w:rFonts w:hint="eastAsia"/>
                <w:color w:val="000000"/>
                <w:lang w:val="en-US" w:eastAsia="zh-CN"/>
              </w:rPr>
              <w:t>衡水深州康定街</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091" w:type="dxa"/>
            <w:vAlign w:val="center"/>
          </w:tcPr>
          <w:p>
            <w:pPr>
              <w:spacing w:before="40" w:after="40"/>
              <w:rPr>
                <w:rFonts w:eastAsia="黑体"/>
                <w:szCs w:val="21"/>
                <w:lang w:eastAsia="ja-JP"/>
              </w:rPr>
            </w:pPr>
            <w:r>
              <w:rPr>
                <w:sz w:val="21"/>
                <w:szCs w:val="21"/>
              </w:rPr>
              <w:t>资质范围内的通信工程施工总承包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hint="default" w:ascii="Arial" w:hAnsi="Arial" w:eastAsia="黑体" w:cs="Arial"/>
              <w:szCs w:val="21"/>
            </w:rPr>
            <w:id w:val="1360237495"/>
          </w:sdtPr>
          <w:sdtEndPr>
            <w:rPr>
              <w:rFonts w:hint="default" w:ascii="Arial" w:hAnsi="Arial" w:eastAsia="黑体" w:cs="Arial"/>
              <w:szCs w:val="21"/>
            </w:rPr>
          </w:sdtEndPr>
          <w:sdtContent>
            <w:tc>
              <w:tcPr>
                <w:tcW w:w="668" w:type="dxa"/>
                <w:shd w:val="clear" w:color="auto" w:fill="FFFFFF"/>
              </w:tcPr>
              <w:p>
                <w:pPr>
                  <w:rPr>
                    <w:rFonts w:eastAsia="黑体"/>
                    <w:szCs w:val="21"/>
                  </w:rPr>
                </w:pPr>
                <w:r>
                  <w:rPr>
                    <w:rFonts w:eastAsia="黑体"/>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2021-N1EMS-1244880</w:t>
            </w:r>
          </w:p>
          <w:p>
            <w:r>
              <w:t>长城建设集团有限公司</w:t>
            </w:r>
          </w:p>
        </w:tc>
        <w:tc>
          <w:tcPr>
            <w:tcW w:w="2179" w:type="dxa"/>
            <w:vAlign w:val="center"/>
          </w:tcPr>
          <w:p>
            <w:r>
              <w:t>EC:28.04.02</w:t>
            </w:r>
          </w:p>
          <w:p>
            <w:r>
              <w:t>E:28.04.02</w:t>
            </w:r>
          </w:p>
          <w:p>
            <w:r>
              <w:t>O:28.04.02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李蒙生</w:t>
            </w:r>
            <w:r>
              <w:rPr>
                <w:rFonts w:hint="eastAsia"/>
                <w:lang w:eastAsia="zh-CN"/>
              </w:rPr>
              <w:t>（</w:t>
            </w:r>
            <w:r>
              <w:rPr>
                <w:rFonts w:hint="eastAsia"/>
                <w:lang w:val="en-US" w:eastAsia="zh-CN"/>
              </w:rPr>
              <w:t>远程</w:t>
            </w:r>
            <w:r>
              <w:rPr>
                <w:rFonts w:hint="eastAsia"/>
                <w:lang w:eastAsia="zh-CN"/>
              </w:rPr>
              <w:t>）</w:t>
            </w:r>
          </w:p>
        </w:tc>
        <w:tc>
          <w:tcPr>
            <w:tcW w:w="1089" w:type="dxa"/>
            <w:vAlign w:val="center"/>
          </w:tcPr>
          <w:p>
            <w:r>
              <w:t>组员</w:t>
            </w:r>
          </w:p>
        </w:tc>
        <w:tc>
          <w:tcPr>
            <w:tcW w:w="711" w:type="dxa"/>
            <w:vAlign w:val="center"/>
          </w:tcPr>
          <w:p>
            <w:r>
              <w:t>男</w:t>
            </w:r>
          </w:p>
        </w:tc>
        <w:tc>
          <w:tcPr>
            <w:tcW w:w="3870" w:type="dxa"/>
            <w:vAlign w:val="center"/>
          </w:tcPr>
          <w:p>
            <w:r>
              <w:t>2020-N1QMS-1237307</w:t>
            </w:r>
          </w:p>
          <w:p>
            <w:r>
              <w:t>2020-N1EMS-1237307</w:t>
            </w:r>
          </w:p>
          <w:p>
            <w:r>
              <w:t>2020-N1OHSMS-1237307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748" w:type="dxa"/>
            <w:vAlign w:val="center"/>
          </w:tcPr>
          <w:p>
            <w:pPr>
              <w:rPr>
                <w:rFonts w:hint="eastAsia" w:eastAsia="宋体"/>
                <w:lang w:eastAsia="zh-CN"/>
              </w:rPr>
            </w:pPr>
            <w:r>
              <w:t>曾正</w:t>
            </w:r>
            <w:r>
              <w:rPr>
                <w:rFonts w:hint="eastAsia"/>
                <w:lang w:eastAsia="zh-CN"/>
              </w:rPr>
              <w:t>（</w:t>
            </w:r>
            <w:r>
              <w:rPr>
                <w:rFonts w:hint="eastAsia"/>
                <w:lang w:val="en-US" w:eastAsia="zh-CN"/>
              </w:rPr>
              <w:t>远程</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2021-N0EMS-1208614</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1</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lang w:eastAsia="zh-CN"/>
              </w:rPr>
              <w:t>☑</w:t>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E勾选Add2"/>
            <w:r>
              <w:rPr>
                <w:rFonts w:hint="eastAsia"/>
              </w:rPr>
              <w:t>■</w:t>
            </w:r>
            <w:bookmarkEnd w:id="27"/>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S勾选Add2"/>
            <w:r>
              <w:rPr>
                <w:rFonts w:hint="eastAsia"/>
              </w:rPr>
              <w:t>■</w:t>
            </w:r>
            <w:bookmarkEnd w:id="28"/>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78105</wp:posOffset>
                  </wp:positionH>
                  <wp:positionV relativeFrom="paragraph">
                    <wp:posOffset>38735</wp:posOffset>
                  </wp:positionV>
                  <wp:extent cx="1524000" cy="387350"/>
                  <wp:effectExtent l="0" t="0" r="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524000" cy="3873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before="40" w:after="40"/>
        <w:rPr>
          <w:rFonts w:eastAsia="微软雅黑"/>
          <w:sz w:val="20"/>
          <w:szCs w:val="20"/>
        </w:rPr>
      </w:pPr>
    </w:p>
    <w:p>
      <w:pPr>
        <w:pStyle w:val="13"/>
        <w:rPr>
          <w:rFonts w:eastAsia="微软雅黑"/>
          <w:sz w:val="20"/>
          <w:szCs w:val="20"/>
        </w:rPr>
      </w:pPr>
    </w:p>
    <w:p>
      <w:pPr>
        <w:pStyle w:val="13"/>
        <w:rPr>
          <w:rFonts w:eastAsia="微软雅黑"/>
          <w:sz w:val="20"/>
          <w:szCs w:val="20"/>
        </w:rPr>
      </w:pPr>
    </w:p>
    <w:p>
      <w:pPr>
        <w:pStyle w:val="13"/>
        <w:rPr>
          <w:rFonts w:eastAsia="微软雅黑"/>
          <w:sz w:val="20"/>
          <w:szCs w:val="20"/>
        </w:rPr>
      </w:pPr>
    </w:p>
    <w:p>
      <w:pPr>
        <w:pStyle w:val="13"/>
        <w:rPr>
          <w:rFonts w:eastAsia="微软雅黑"/>
          <w:sz w:val="20"/>
          <w:szCs w:val="20"/>
        </w:rPr>
      </w:pPr>
    </w:p>
    <w:p>
      <w:pPr>
        <w:pStyle w:val="13"/>
        <w:rPr>
          <w:rFonts w:eastAsia="微软雅黑"/>
          <w:sz w:val="20"/>
          <w:szCs w:val="20"/>
        </w:rPr>
      </w:pPr>
    </w:p>
    <w:p>
      <w:pPr>
        <w:pStyle w:val="13"/>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视项目情况，目前无外包</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尽职守法，关爱环境，预控风险，节能降耗，以人为本，关注顾客，优质服务，持续改进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相关方沟通、施工服务策划、采购、进行验证、原料备件贮存防护、施工技术准备、电力消耗、污染源监测、体系运行等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tabs>
                <w:tab w:val="left" w:pos="840"/>
                <w:tab w:val="left" w:pos="1260"/>
              </w:tabs>
              <w:autoSpaceDE w:val="0"/>
              <w:autoSpaceDN w:val="0"/>
              <w:adjustRightInd w:val="0"/>
              <w:spacing w:line="360" w:lineRule="auto"/>
              <w:ind w:left="454"/>
              <w:rPr>
                <w:rFonts w:ascii="宋体"/>
                <w:kern w:val="0"/>
                <w:lang w:val="zh-CN"/>
              </w:rPr>
            </w:pPr>
            <w:r>
              <w:rPr>
                <w:rFonts w:ascii="宋体"/>
                <w:kern w:val="0"/>
                <w:lang w:val="zh-CN"/>
              </w:rPr>
              <w:t>a)</w:t>
            </w:r>
            <w:r>
              <w:rPr>
                <w:rFonts w:hint="eastAsia" w:ascii="宋体"/>
                <w:kern w:val="0"/>
                <w:lang w:val="zh-CN"/>
              </w:rPr>
              <w:t>工程竣工验收一次合格率为</w:t>
            </w:r>
            <w:r>
              <w:rPr>
                <w:rFonts w:ascii="宋体"/>
                <w:kern w:val="0"/>
                <w:lang w:val="zh-CN"/>
              </w:rPr>
              <w:t>100%</w:t>
            </w:r>
            <w:r>
              <w:rPr>
                <w:rFonts w:hint="eastAsia" w:ascii="宋体"/>
                <w:kern w:val="0"/>
                <w:lang w:val="zh-CN"/>
              </w:rPr>
              <w:t>；</w:t>
            </w:r>
          </w:p>
          <w:p>
            <w:pPr>
              <w:tabs>
                <w:tab w:val="left" w:pos="840"/>
                <w:tab w:val="left" w:pos="1260"/>
              </w:tabs>
              <w:autoSpaceDE w:val="0"/>
              <w:autoSpaceDN w:val="0"/>
              <w:adjustRightInd w:val="0"/>
              <w:spacing w:line="360" w:lineRule="auto"/>
              <w:ind w:left="454"/>
              <w:rPr>
                <w:rFonts w:ascii="宋体"/>
                <w:kern w:val="0"/>
                <w:lang w:val="zh-CN"/>
              </w:rPr>
            </w:pPr>
            <w:r>
              <w:rPr>
                <w:rFonts w:ascii="宋体"/>
                <w:kern w:val="0"/>
                <w:lang w:val="zh-CN"/>
              </w:rPr>
              <w:t>b)</w:t>
            </w:r>
            <w:r>
              <w:rPr>
                <w:rFonts w:hint="eastAsia" w:ascii="宋体"/>
                <w:kern w:val="0"/>
                <w:lang w:val="zh-CN"/>
              </w:rPr>
              <w:t>顾客满意率达</w:t>
            </w:r>
            <w:r>
              <w:rPr>
                <w:rFonts w:ascii="宋体"/>
                <w:kern w:val="0"/>
                <w:lang w:val="zh-CN"/>
              </w:rPr>
              <w:t>90%</w:t>
            </w:r>
            <w:r>
              <w:rPr>
                <w:rFonts w:hint="eastAsia" w:ascii="宋体"/>
                <w:kern w:val="0"/>
                <w:lang w:val="zh-CN"/>
              </w:rPr>
              <w:t>以上；</w:t>
            </w:r>
          </w:p>
          <w:p>
            <w:pPr>
              <w:tabs>
                <w:tab w:val="left" w:pos="1260"/>
              </w:tabs>
              <w:autoSpaceDE w:val="0"/>
              <w:autoSpaceDN w:val="0"/>
              <w:adjustRightInd w:val="0"/>
              <w:spacing w:line="360" w:lineRule="auto"/>
              <w:ind w:left="454"/>
              <w:rPr>
                <w:rFonts w:ascii="宋体"/>
                <w:kern w:val="0"/>
                <w:lang w:val="zh-CN"/>
              </w:rPr>
            </w:pPr>
            <w:r>
              <w:rPr>
                <w:rFonts w:ascii="宋体"/>
                <w:kern w:val="0"/>
                <w:lang w:val="zh-CN"/>
              </w:rPr>
              <w:t>c)</w:t>
            </w:r>
            <w:r>
              <w:rPr>
                <w:rFonts w:hint="eastAsia" w:ascii="宋体"/>
                <w:kern w:val="0"/>
                <w:lang w:val="zh-CN"/>
              </w:rPr>
              <w:t>工程合同履约率</w:t>
            </w:r>
            <w:r>
              <w:rPr>
                <w:rFonts w:ascii="宋体"/>
                <w:kern w:val="0"/>
                <w:lang w:val="zh-CN"/>
              </w:rPr>
              <w:t>100%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ascii="Times New Roman" w:hAnsi="Times New Roman" w:eastAsia="宋体" w:cs="Times New Roman"/>
                <w:u w:val="single"/>
                <w:lang w:eastAsia="zh-CN"/>
              </w:rPr>
            </w:pPr>
            <w:r>
              <w:rPr>
                <w:rFonts w:hint="eastAsia"/>
              </w:rPr>
              <w:t>主要生产设备有：</w:t>
            </w:r>
            <w:r>
              <w:rPr>
                <w:rFonts w:hint="eastAsia" w:ascii="Times New Roman" w:hAnsi="Times New Roman" w:eastAsia="宋体" w:cs="Times New Roman"/>
                <w:u w:val="single"/>
              </w:rPr>
              <w:t>光缆熔接机</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工程车配置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OTDR 配置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蹬梯、挑线杆及线缆安装工具</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自校、</w:t>
            </w:r>
            <w:r>
              <w:rPr>
                <w:rFonts w:hint="eastAsia"/>
              </w:rPr>
              <w:t>¨外校   ¨其他</w:t>
            </w:r>
          </w:p>
          <w:p>
            <w:pPr>
              <w:pStyle w:val="13"/>
            </w:pPr>
            <w:r>
              <w:rPr>
                <w:rFonts w:hint="eastAsia"/>
              </w:rPr>
              <w:t>计量器具管理：</w:t>
            </w:r>
            <w:r>
              <w:rPr>
                <w:rFonts w:hint="eastAsia" w:ascii="Wingdings" w:hAnsi="Wingdings"/>
              </w:rPr>
              <w:t>¨</w:t>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电工、架子工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原材料采购</w:t>
            </w:r>
          </w:p>
          <w:p>
            <w:pPr>
              <w:shd w:val="clear" w:color="auto" w:fill="C7DAF1" w:themeFill="text2" w:themeFillTint="32"/>
              <w:jc w:val="left"/>
            </w:pPr>
            <w:r>
              <w:rPr>
                <w:rFonts w:hint="eastAsia"/>
              </w:rPr>
              <w:t>对外部提供的过程、产品和服务的供方的控制</w:t>
            </w:r>
            <w:r>
              <w:rPr>
                <w:rFonts w:hint="eastAsia" w:ascii="Wingdings" w:hAnsi="Wingdings"/>
              </w:rPr>
              <w:t>¨</w:t>
            </w:r>
            <w:r>
              <w:rPr>
                <w:rFonts w:hint="eastAsia"/>
              </w:rPr>
              <w:t>符合要求</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线缆护管定向穿越、光缆接续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8-9</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16</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视项目情况，目前无外包</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尽职守法，关爱环境，预控风险，节能降耗，以人为本，关注顾客，优质服务，持续改进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□消防验收/备案证明日期：</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组织建立了与方针一致的文件化的管理目标。为实现环境总目标而建立的各层级环境目标具体、</w:t>
            </w:r>
            <w:r>
              <w:rPr>
                <w:rFonts w:hint="eastAsia" w:ascii="Times New Roman" w:hAnsi="Times New Roman" w:eastAsia="宋体" w:cs="Times New Roman"/>
              </w:rPr>
              <w:t>有针对性、可测量并且可实现。</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环境总目标：</w:t>
            </w:r>
            <w:r>
              <w:rPr>
                <w:rFonts w:ascii="Times New Roman" w:hAnsi="Times New Roman" w:eastAsia="宋体" w:cs="Times New Roman"/>
                <w:lang w:val="zh-CN"/>
              </w:rPr>
              <w:t>a)</w:t>
            </w:r>
            <w:r>
              <w:rPr>
                <w:rFonts w:hint="eastAsia" w:ascii="Times New Roman" w:hAnsi="Times New Roman" w:eastAsia="宋体" w:cs="Times New Roman"/>
                <w:lang w:val="zh-CN"/>
              </w:rPr>
              <w:t>施工现场噪声符合国家标准；</w:t>
            </w:r>
            <w:r>
              <w:rPr>
                <w:rFonts w:ascii="Times New Roman" w:hAnsi="Times New Roman" w:eastAsia="宋体" w:cs="Times New Roman"/>
                <w:lang w:val="zh-CN"/>
              </w:rPr>
              <w:t>b)</w:t>
            </w:r>
            <w:r>
              <w:rPr>
                <w:rFonts w:hint="eastAsia" w:ascii="Times New Roman" w:hAnsi="Times New Roman" w:eastAsia="宋体" w:cs="Times New Roman"/>
                <w:lang w:val="zh-CN"/>
              </w:rPr>
              <w:t>固体废弃物</w:t>
            </w:r>
            <w:r>
              <w:rPr>
                <w:rFonts w:ascii="Times New Roman" w:hAnsi="Times New Roman" w:eastAsia="宋体" w:cs="Times New Roman"/>
                <w:lang w:val="zh-CN"/>
              </w:rPr>
              <w:t>100%</w:t>
            </w:r>
            <w:r>
              <w:rPr>
                <w:rFonts w:hint="eastAsia" w:ascii="Times New Roman" w:hAnsi="Times New Roman" w:eastAsia="宋体" w:cs="Times New Roman"/>
                <w:lang w:val="zh-CN"/>
              </w:rPr>
              <w:t>合规处理，无固废污染；</w:t>
            </w:r>
            <w:r>
              <w:rPr>
                <w:rFonts w:ascii="Times New Roman" w:hAnsi="Times New Roman" w:eastAsia="宋体" w:cs="Times New Roman"/>
                <w:lang w:val="zh-CN"/>
              </w:rPr>
              <w:t>c)</w:t>
            </w:r>
            <w:r>
              <w:rPr>
                <w:rFonts w:hint="eastAsia" w:ascii="Times New Roman" w:hAnsi="Times New Roman" w:eastAsia="宋体" w:cs="Times New Roman"/>
                <w:lang w:val="zh-CN"/>
              </w:rPr>
              <w:t>杜绝火灾事件发生；</w:t>
            </w:r>
            <w:r>
              <w:rPr>
                <w:rFonts w:ascii="Times New Roman" w:hAnsi="Times New Roman" w:eastAsia="宋体" w:cs="Times New Roman"/>
                <w:lang w:val="zh-CN"/>
              </w:rPr>
              <w:t>d)</w:t>
            </w:r>
            <w:r>
              <w:rPr>
                <w:rFonts w:hint="eastAsia" w:ascii="Times New Roman" w:hAnsi="Times New Roman" w:eastAsia="宋体" w:cs="Times New Roman"/>
                <w:lang w:val="zh-CN"/>
              </w:rPr>
              <w:t>重大环境污染事件为零</w:t>
            </w:r>
            <w:r>
              <w:rPr>
                <w:rFonts w:hint="eastAsia" w:ascii="Times New Roman" w:hAnsi="Times New Roman" w:eastAsia="宋体" w:cs="Times New Roman"/>
              </w:rPr>
              <w:t>。</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建筑面积 </w:t>
            </w:r>
            <w:r>
              <w:rPr>
                <w:rFonts w:hint="eastAsia" w:ascii="Times New Roman" w:hAnsi="Times New Roman" w:eastAsia="宋体" w:cs="Times New Roman"/>
                <w:lang w:val="en-US" w:eastAsia="zh-CN"/>
              </w:rPr>
              <w:t>300</w:t>
            </w:r>
            <w:r>
              <w:rPr>
                <w:rFonts w:hint="eastAsia" w:ascii="Times New Roman" w:hAnsi="Times New Roman" w:eastAsia="宋体" w:cs="Times New Roman"/>
              </w:rPr>
              <w:t xml:space="preserve">  平方米；</w:t>
            </w:r>
            <w:r>
              <w:rPr>
                <w:rFonts w:hint="eastAsia" w:ascii="Times New Roman" w:hAnsi="Times New Roman" w:eastAsia="宋体" w:cs="Times New Roman"/>
                <w:lang w:val="en-US" w:eastAsia="zh-CN"/>
              </w:rPr>
              <w:t>办公室</w:t>
            </w:r>
            <w:r>
              <w:rPr>
                <w:rFonts w:hint="eastAsia" w:ascii="Times New Roman" w:hAnsi="Times New Roman" w:eastAsia="宋体" w:cs="Times New Roman"/>
              </w:rPr>
              <w:t xml:space="preserve">  </w:t>
            </w:r>
            <w:r>
              <w:rPr>
                <w:rFonts w:hint="eastAsia" w:ascii="Times New Roman" w:hAnsi="Times New Roman" w:eastAsia="宋体" w:cs="Times New Roman"/>
                <w:lang w:val="en-US" w:eastAsia="zh-CN"/>
              </w:rPr>
              <w:t>3</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1</w:t>
            </w:r>
            <w:r>
              <w:rPr>
                <w:rFonts w:hint="eastAsia" w:ascii="Times New Roman" w:hAnsi="Times New Roman" w:eastAsia="宋体" w:cs="Times New Roman"/>
              </w:rPr>
              <w:t xml:space="preserve"> 个；实验室 </w:t>
            </w:r>
            <w:r>
              <w:rPr>
                <w:rFonts w:hint="eastAsia" w:ascii="Times New Roman" w:hAnsi="Times New Roman" w:eastAsia="宋体" w:cs="Times New Roman"/>
                <w:lang w:val="en-US" w:eastAsia="zh-CN"/>
              </w:rPr>
              <w:t>0</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主要生产设备有：</w:t>
            </w:r>
            <w:r>
              <w:rPr>
                <w:rFonts w:hint="eastAsia" w:ascii="Times New Roman" w:hAnsi="Times New Roman" w:eastAsia="宋体" w:cs="Times New Roman"/>
                <w:u w:val="single"/>
              </w:rPr>
              <w:t>光缆熔接机</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工程车配置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OTDR 配置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蹬梯、挑线杆及线缆安装工具</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主要环保设备有： </w:t>
            </w:r>
            <w:r>
              <w:rPr>
                <w:rFonts w:hint="eastAsia" w:ascii="Times New Roman" w:hAnsi="Times New Roman" w:eastAsia="宋体" w:cs="Times New Roman"/>
                <w:lang w:val="en-US" w:eastAsia="zh-CN"/>
              </w:rPr>
              <w:t>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喷雾车</w:t>
            </w:r>
            <w:r>
              <w:rPr>
                <w:rFonts w:hint="eastAsia" w:ascii="Times New Roman" w:hAnsi="Times New Roman" w:eastAsia="宋体" w:cs="Times New Roman"/>
              </w:rPr>
              <w:t xml:space="preserve">           （列举2~4种）</w:t>
            </w:r>
          </w:p>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特种设备：</w:t>
            </w:r>
            <w:r>
              <w:rPr>
                <w:rFonts w:hint="eastAsia" w:ascii="Times New Roman" w:hAnsi="Times New Roman" w:eastAsia="宋体" w:cs="Times New Roman"/>
                <w:lang w:val="en-US" w:eastAsia="zh-CN"/>
              </w:rPr>
              <w:t>无</w:t>
            </w:r>
            <w:r>
              <w:rPr>
                <w:rFonts w:hint="eastAsia" w:ascii="Times New Roman" w:hAnsi="Times New Roman" w:eastAsia="宋体" w:cs="Times New Roman"/>
              </w:rPr>
              <w:t xml:space="preserve"> </w:t>
            </w:r>
            <w:r>
              <w:rPr>
                <w:rFonts w:hint="eastAsia" w:ascii="Times New Roman" w:hAnsi="Times New Roman" w:eastAsia="宋体" w:cs="Times New Roman"/>
                <w:lang w:eastAsia="zh-CN"/>
              </w:rPr>
              <w:t>；</w:t>
            </w:r>
            <w:r>
              <w:rPr>
                <w:rFonts w:hint="eastAsia" w:ascii="Times New Roman" w:hAnsi="Times New Roman" w:eastAsia="宋体" w:cs="Times New Roman"/>
              </w:rPr>
              <w:t>辅助场所：</w:t>
            </w:r>
            <w:r>
              <w:rPr>
                <w:rFonts w:hint="eastAsia" w:ascii="Times New Roman" w:hAnsi="Times New Roman" w:eastAsia="宋体" w:cs="Times New Roman"/>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电工、架子工</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ascii="Wingdings" w:hAnsi="Wingdings"/>
              </w:rPr>
              <w:t>¨</w:t>
            </w:r>
            <w:r>
              <w:rPr>
                <w:rFonts w:hint="eastAsia"/>
              </w:rPr>
              <w:t>EMS认证证书</w:t>
            </w:r>
          </w:p>
          <w:p>
            <w:pPr>
              <w:shd w:val="clear" w:color="auto" w:fill="EBF1DE" w:themeFill="accent3" w:themeFillTint="32"/>
            </w:pPr>
            <w:r>
              <w:rPr>
                <w:rFonts w:hint="eastAsia" w:ascii="Wingdings" w:hAnsi="Wingdings"/>
              </w:rPr>
              <w:t>¨</w:t>
            </w:r>
            <w:r>
              <w:rPr>
                <w:rFonts w:hint="eastAsia"/>
              </w:rPr>
              <w:t xml:space="preserve">符合要求 </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lang w:val="en-US" w:eastAsia="zh-CN"/>
              </w:rPr>
              <w:t>原材料采购</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22</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8-9</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16</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视项目情况，目前无外包</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尽职守法，关爱环境，预控风险，节能降耗，以人为本，关注顾客，优质服务，持续改进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w:t>
            </w:r>
            <w:r>
              <w:rPr>
                <w:rFonts w:hint="eastAsia" w:ascii="Times New Roman" w:hAnsi="Times New Roman" w:eastAsia="宋体" w:cs="Times New Roman"/>
              </w:rPr>
              <w:t>代表是——</w:t>
            </w:r>
            <w:r>
              <w:rPr>
                <w:rFonts w:hint="eastAsia" w:ascii="Times New Roman" w:hAnsi="Times New Roman" w:eastAsia="宋体" w:cs="Times New Roman"/>
                <w:lang w:val="en-US" w:eastAsia="zh-CN"/>
              </w:rPr>
              <w:t>刘腾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eastAsia="宋体" w:cs="Times New Roman"/>
              </w:rPr>
            </w:pPr>
            <w:r>
              <w:rPr>
                <w:rFonts w:hint="eastAsia"/>
              </w:rPr>
              <w:t>组织</w:t>
            </w:r>
            <w:r>
              <w:rPr>
                <w:rFonts w:hint="eastAsia" w:ascii="Times New Roman" w:hAnsi="Times New Roman" w:eastAsia="宋体" w:cs="Times New Roman"/>
              </w:rPr>
              <w:t>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总职业健康安全目标实现情况的评价，及其控制措施是：</w:t>
            </w:r>
          </w:p>
          <w:p>
            <w:pPr>
              <w:rPr>
                <w:rFonts w:hint="eastAsia" w:ascii="Times New Roman" w:hAnsi="Times New Roman" w:eastAsia="宋体" w:cs="Times New Roman"/>
                <w:lang w:val="zh-CN"/>
              </w:rPr>
            </w:pPr>
            <w:r>
              <w:rPr>
                <w:rFonts w:hint="default" w:ascii="Times New Roman" w:hAnsi="Times New Roman" w:eastAsia="宋体" w:cs="Times New Roman"/>
              </w:rPr>
              <w:t>职业健康安全目标：</w:t>
            </w:r>
            <w:r>
              <w:rPr>
                <w:rFonts w:hint="eastAsia" w:ascii="Times New Roman" w:hAnsi="Times New Roman" w:eastAsia="宋体" w:cs="Times New Roman"/>
                <w:lang w:val="zh-CN"/>
              </w:rPr>
              <w:t>a)杜绝火灾、触电事件发生；</w:t>
            </w:r>
          </w:p>
          <w:p>
            <w:pPr>
              <w:rPr>
                <w:rFonts w:hint="eastAsia" w:ascii="Times New Roman" w:hAnsi="Times New Roman" w:eastAsia="宋体" w:cs="Times New Roman"/>
              </w:rPr>
            </w:pPr>
            <w:r>
              <w:rPr>
                <w:rFonts w:hint="eastAsia" w:ascii="Times New Roman" w:hAnsi="Times New Roman" w:eastAsia="宋体" w:cs="Times New Roman"/>
                <w:lang w:val="zh-CN"/>
              </w:rPr>
              <w:t>b)</w:t>
            </w:r>
            <w:r>
              <w:rPr>
                <w:rFonts w:hint="eastAsia" w:ascii="Times New Roman" w:hAnsi="Times New Roman" w:eastAsia="宋体" w:cs="Times New Roman"/>
              </w:rPr>
              <w:t>交通事故、物体打击、机械伤害等意外伤害事件零发生；</w:t>
            </w:r>
          </w:p>
          <w:p>
            <w:pPr>
              <w:rPr>
                <w:rFonts w:hint="eastAsia" w:ascii="Times New Roman" w:hAnsi="Times New Roman" w:eastAsia="宋体" w:cs="Times New Roman"/>
                <w:lang w:val="zh-CN"/>
              </w:rPr>
            </w:pPr>
            <w:r>
              <w:rPr>
                <w:rFonts w:hint="eastAsia" w:ascii="Times New Roman" w:hAnsi="Times New Roman" w:eastAsia="宋体" w:cs="Times New Roman"/>
                <w:lang w:val="zh-CN"/>
              </w:rPr>
              <w:t>c)轻伤事故每年控制在3‰以内；</w:t>
            </w:r>
          </w:p>
          <w:p>
            <w:pPr>
              <w:rPr>
                <w:rFonts w:hint="default" w:ascii="Times New Roman" w:hAnsi="Times New Roman" w:eastAsia="宋体" w:cs="Times New Roman"/>
              </w:rPr>
            </w:pPr>
            <w:r>
              <w:rPr>
                <w:rFonts w:hint="eastAsia" w:ascii="Times New Roman" w:hAnsi="Times New Roman" w:eastAsia="宋体" w:cs="Times New Roman"/>
              </w:rPr>
              <w:t>d)因工死亡事件为零</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ascii="Times New Roman" w:hAnsi="Times New Roman" w:eastAsia="宋体" w:cs="Times New Roman"/>
                <w:u w:val="single"/>
              </w:rPr>
              <w:t>光缆熔接机</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工程车配置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OTDR 配置</w:t>
            </w:r>
            <w:r>
              <w:rPr>
                <w:rFonts w:hint="eastAsia" w:ascii="Times New Roman" w:hAnsi="Times New Roman" w:eastAsia="宋体" w:cs="Times New Roman"/>
                <w:u w:val="single"/>
                <w:lang w:eastAsia="zh-CN"/>
              </w:rPr>
              <w:t>、</w:t>
            </w:r>
            <w:r>
              <w:rPr>
                <w:rFonts w:hint="eastAsia" w:ascii="Times New Roman" w:hAnsi="Times New Roman" w:eastAsia="宋体" w:cs="Times New Roman"/>
                <w:u w:val="single"/>
              </w:rPr>
              <w:t>蹬梯、挑线杆及线缆安装工具</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电工、架子工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ascii="Times New Roman" w:hAnsi="Times New Roman" w:eastAsia="宋体" w:cs="Times New Roman"/>
              </w:rPr>
            </w:pPr>
            <w:r>
              <w:rPr>
                <w:rFonts w:hint="eastAsia"/>
              </w:rPr>
              <w:t>顾</w:t>
            </w:r>
            <w:r>
              <w:rPr>
                <w:rFonts w:hint="eastAsia" w:ascii="Times New Roman" w:hAnsi="Times New Roman" w:eastAsia="宋体" w:cs="Times New Roman"/>
              </w:rPr>
              <w:t>客的职业健康安全要求为：¨应急预案    ¨OHSMS认证证书  ¨其他</w:t>
            </w:r>
          </w:p>
          <w:p>
            <w:pPr>
              <w:rPr>
                <w:rFonts w:hint="default"/>
                <w:lang w:val="en-US"/>
              </w:rPr>
            </w:pP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lang w:val="en-US" w:eastAsia="zh-CN"/>
              </w:rPr>
              <w:t>原材料采购</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交通伤害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6</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22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hint="default" w:eastAsia="宋体"/>
                <w:lang w:val="en-US" w:eastAsia="zh-CN"/>
              </w:rPr>
            </w:pPr>
            <w:r>
              <w:rPr>
                <w:rFonts w:hint="eastAsia"/>
              </w:rPr>
              <w:t>达标评价：</w:t>
            </w:r>
            <w:r>
              <w:rPr>
                <w:rFonts w:hint="eastAsia" w:ascii="Wingdings" w:hAnsi="Wingdings"/>
                <w:lang w:val="en-US" w:eastAsia="zh-CN"/>
              </w:rPr>
              <w:t>未提供对员工进行体检的证据，已开具不符合报告。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2021年7月8-9日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16</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13"/>
      </w:pPr>
      <w:bookmarkStart w:id="29" w:name="_GoBack"/>
      <w:bookmarkEnd w:id="29"/>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13"/>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9784C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ody Text Indent"/>
    <w:basedOn w:val="1"/>
    <w:qFormat/>
    <w:uiPriority w:val="99"/>
    <w:pPr>
      <w:spacing w:line="400" w:lineRule="exact"/>
      <w:ind w:firstLine="480" w:firstLineChars="200"/>
    </w:pPr>
    <w:rPr>
      <w:rFonts w:ascii="宋体" w:hAnsi="宋体" w:cs="Times New Roman"/>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4</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2021-12-29T06:58:35Z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