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049"/>
        <w:gridCol w:w="1138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过程与活动、抽样计划</w:t>
            </w:r>
          </w:p>
        </w:tc>
        <w:tc>
          <w:tcPr>
            <w:tcW w:w="35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条款</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受审核部门：管理层         主管领导：</w:t>
            </w:r>
            <w:r>
              <w:rPr>
                <w:rFonts w:hint="eastAsia" w:ascii="楷体" w:hAnsi="楷体" w:eastAsia="楷体"/>
              </w:rPr>
              <w:t>侯建章、安景治      陪同人员：李婷婷</w:t>
            </w:r>
          </w:p>
        </w:tc>
        <w:tc>
          <w:tcPr>
            <w:tcW w:w="3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p>
        </w:tc>
        <w:tc>
          <w:tcPr>
            <w:tcW w:w="35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审核员：</w:t>
            </w:r>
            <w:r>
              <w:rPr>
                <w:rFonts w:hint="eastAsia" w:cs="Times New Roman"/>
                <w:color w:val="auto"/>
                <w:sz w:val="21"/>
                <w:szCs w:val="21"/>
                <w:lang w:val="en-US" w:eastAsia="zh-CN"/>
              </w:rPr>
              <w:t>吉洁</w:t>
            </w:r>
            <w:r>
              <w:rPr>
                <w:rFonts w:hint="default" w:ascii="Times New Roman" w:hAnsi="Times New Roman" w:eastAsia="宋体" w:cs="Times New Roman"/>
                <w:color w:val="auto"/>
                <w:sz w:val="21"/>
                <w:szCs w:val="21"/>
              </w:rPr>
              <w:t xml:space="preserve">             审核时间：</w:t>
            </w:r>
            <w:r>
              <w:rPr>
                <w:rFonts w:hint="eastAsia" w:cs="Times New Roman"/>
                <w:color w:val="auto"/>
                <w:sz w:val="21"/>
                <w:szCs w:val="21"/>
                <w:lang w:val="en-US" w:eastAsia="zh-CN"/>
              </w:rPr>
              <w:t>2021.11.17</w:t>
            </w:r>
          </w:p>
        </w:tc>
        <w:tc>
          <w:tcPr>
            <w:tcW w:w="31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p>
        </w:tc>
        <w:tc>
          <w:tcPr>
            <w:tcW w:w="35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审核条款：</w:t>
            </w:r>
            <w:r>
              <w:rPr>
                <w:rFonts w:hint="eastAsia" w:ascii="Times New Roman" w:hAnsi="Times New Roman" w:cs="Times New Roman"/>
                <w:bCs/>
                <w:sz w:val="21"/>
                <w:szCs w:val="21"/>
                <w:lang w:val="en-US" w:eastAsia="zh-CN"/>
              </w:rPr>
              <w:t>EO</w:t>
            </w:r>
            <w:r>
              <w:rPr>
                <w:rFonts w:ascii="Times New Roman" w:hAnsi="Times New Roman" w:cs="Times New Roman"/>
                <w:bCs/>
                <w:sz w:val="21"/>
                <w:szCs w:val="21"/>
              </w:rPr>
              <w:t>6.1/6.2/7.1/9.1.1/9.3/10.1/10.3</w:t>
            </w:r>
          </w:p>
        </w:tc>
        <w:tc>
          <w:tcPr>
            <w:tcW w:w="31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5"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应对风险和机会的策划</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6.1.1</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查《风险管理控制程序》规定风险的识别、分析、评价和控制的过程和方法，以保证风险管理的有效性，从而确保质量管理体系能够实现其期望的结果；增强有利影响；避免或减少不利影响；实现改进。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解总</w:t>
            </w:r>
            <w:r>
              <w:rPr>
                <w:rFonts w:hint="default" w:ascii="Times New Roman" w:hAnsi="Times New Roman" w:eastAsia="宋体" w:cs="Times New Roman"/>
                <w:color w:val="auto"/>
                <w:sz w:val="21"/>
                <w:szCs w:val="21"/>
              </w:rPr>
              <w:t>介绍：在策划管理体系时，领导层考虑了公司运行QES（J）标准所处的环境，包括上述4.1识别的内外部环境。手册里有对风险和机遇应对控制的要求。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公司面临的风险和机遇主要是：国内经济转型升级和政治因素导致的市场低迷，回款困难，原辅材料涨价，人工成本增加，客户要求提高，以及行业良莠不齐、不良竞争、成本增设等严重影响行业发展。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司从生命周期的角度进行环境因素和危险源的识别与评价，形成了环境因素识别评价表、职业健康安全危害辨识、风险评价调查表，并以此评价出了重要环境因素和重大危险源；识别了紧急情况，如：机械伤害、</w:t>
            </w:r>
            <w:r>
              <w:rPr>
                <w:rFonts w:hint="eastAsia" w:cs="Times New Roman"/>
                <w:color w:val="auto"/>
                <w:sz w:val="21"/>
                <w:szCs w:val="21"/>
                <w:lang w:val="en-US" w:eastAsia="zh-CN"/>
              </w:rPr>
              <w:t>机械</w:t>
            </w:r>
            <w:r>
              <w:rPr>
                <w:rFonts w:hint="default" w:ascii="Times New Roman" w:hAnsi="Times New Roman" w:eastAsia="宋体" w:cs="Times New Roman"/>
                <w:color w:val="auto"/>
                <w:sz w:val="21"/>
                <w:szCs w:val="21"/>
              </w:rPr>
              <w:t>噪声、固废</w:t>
            </w:r>
            <w:r>
              <w:rPr>
                <w:rFonts w:hint="eastAsia" w:cs="Times New Roman"/>
                <w:color w:val="auto"/>
                <w:sz w:val="21"/>
                <w:szCs w:val="21"/>
                <w:lang w:eastAsia="zh-CN"/>
              </w:rPr>
              <w:t>、</w:t>
            </w:r>
            <w:r>
              <w:rPr>
                <w:rFonts w:hint="eastAsia" w:cs="Times New Roman"/>
                <w:color w:val="auto"/>
                <w:sz w:val="21"/>
                <w:szCs w:val="21"/>
                <w:lang w:val="en-US" w:eastAsia="zh-CN"/>
              </w:rPr>
              <w:t>扬尘、</w:t>
            </w:r>
            <w:r>
              <w:rPr>
                <w:rFonts w:hint="default" w:ascii="Times New Roman" w:hAnsi="Times New Roman" w:eastAsia="宋体" w:cs="Times New Roman"/>
                <w:color w:val="auto"/>
                <w:sz w:val="21"/>
                <w:szCs w:val="21"/>
              </w:rPr>
              <w:t>火灾、触电等，制定了相应的应急预案，进行了演练。考虑了合规义务和重要环境因素、重大危险源，确保实现预期结果。制定了相应的措施，通过不同的职能部门管理，融入到各活动中。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李总</w:t>
            </w:r>
            <w:r>
              <w:rPr>
                <w:rFonts w:hint="default" w:ascii="Times New Roman" w:hAnsi="Times New Roman" w:eastAsia="宋体" w:cs="Times New Roman"/>
                <w:color w:val="auto"/>
                <w:sz w:val="21"/>
                <w:szCs w:val="21"/>
              </w:rPr>
              <w:t>简单介绍了公司为了应对现阶段的风险和机遇所采取措施等，记录如下：今年</w:t>
            </w:r>
            <w:r>
              <w:rPr>
                <w:rFonts w:hint="eastAsia" w:cs="Times New Roman"/>
                <w:color w:val="auto"/>
                <w:sz w:val="21"/>
                <w:szCs w:val="21"/>
                <w:lang w:val="en-US" w:eastAsia="zh-CN"/>
              </w:rPr>
              <w:t>持续</w:t>
            </w:r>
            <w:r>
              <w:rPr>
                <w:rFonts w:hint="default" w:ascii="Times New Roman" w:hAnsi="Times New Roman" w:eastAsia="宋体" w:cs="Times New Roman"/>
                <w:color w:val="auto"/>
                <w:sz w:val="21"/>
                <w:szCs w:val="21"/>
              </w:rPr>
              <w:t>的新管肺炎疫情，针对疫情制定了相应的管理措施，并投入了有效的人员和资金，现在已开工的工地，制定有“疫情防控工作方案”对风险识别和采取的措施可应用在实际的体系运行中。</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环境因素、危险源</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6.1.2</w:t>
            </w:r>
          </w:p>
        </w:tc>
        <w:tc>
          <w:tcPr>
            <w:tcW w:w="3820"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公司的《环境因素识别与评价管理程序》和《危险源辨识与风险评价管理程序》，规定了环境因素和危险源识别方法、评价准则和控制方法。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由</w:t>
            </w:r>
            <w:r>
              <w:rPr>
                <w:rFonts w:hint="default" w:ascii="Times New Roman" w:hAnsi="Times New Roman" w:eastAsia="宋体" w:cs="Times New Roman"/>
                <w:color w:val="auto"/>
                <w:sz w:val="21"/>
                <w:szCs w:val="21"/>
                <w:lang w:eastAsia="zh-CN"/>
              </w:rPr>
              <w:t>办公室</w:t>
            </w:r>
            <w:r>
              <w:rPr>
                <w:rFonts w:hint="default" w:ascii="Times New Roman" w:hAnsi="Times New Roman" w:eastAsia="宋体" w:cs="Times New Roman"/>
                <w:color w:val="auto"/>
                <w:sz w:val="21"/>
                <w:szCs w:val="21"/>
              </w:rPr>
              <w:t>组织进行了环境因素、危险源识别评价，得出重要环境因素：固体废弃物排放、噪声排放、</w:t>
            </w:r>
            <w:r>
              <w:rPr>
                <w:rFonts w:hint="eastAsia" w:cs="Times New Roman"/>
                <w:color w:val="auto"/>
                <w:sz w:val="21"/>
                <w:szCs w:val="21"/>
                <w:lang w:val="en-US" w:eastAsia="zh-CN"/>
              </w:rPr>
              <w:t>扬尘排放</w:t>
            </w:r>
            <w:r>
              <w:rPr>
                <w:rFonts w:hint="default" w:ascii="Times New Roman" w:hAnsi="Times New Roman" w:eastAsia="宋体" w:cs="Times New Roman"/>
                <w:color w:val="auto"/>
                <w:sz w:val="21"/>
                <w:szCs w:val="21"/>
              </w:rPr>
              <w:t>；重大危险源：</w:t>
            </w:r>
            <w:r>
              <w:rPr>
                <w:rFonts w:hint="default" w:ascii="Times New Roman" w:hAnsi="Times New Roman" w:eastAsia="宋体" w:cs="Times New Roman"/>
                <w:color w:val="auto"/>
                <w:sz w:val="21"/>
                <w:szCs w:val="21"/>
                <w:lang w:val="en-US" w:eastAsia="zh-CN"/>
              </w:rPr>
              <w:t>火灾事故的发生、触电、噪声伤害、</w:t>
            </w:r>
            <w:r>
              <w:rPr>
                <w:rFonts w:hint="eastAsia" w:cs="Times New Roman"/>
                <w:color w:val="auto"/>
                <w:sz w:val="21"/>
                <w:szCs w:val="21"/>
                <w:lang w:val="en-US" w:eastAsia="zh-CN"/>
              </w:rPr>
              <w:t>机械伤害、物体打击</w:t>
            </w:r>
            <w:r>
              <w:rPr>
                <w:rFonts w:hint="default" w:ascii="Times New Roman" w:hAnsi="Times New Roman" w:eastAsia="宋体" w:cs="Times New Roman"/>
                <w:color w:val="auto"/>
                <w:sz w:val="21"/>
                <w:szCs w:val="21"/>
              </w:rPr>
              <w:t>，评价准确。</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合规性义务、法律法规要求</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6.1.3</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策划编制了《合规义务管理控制程序》，规定法律、法规及其他要求的范围、获取方法、确认及分发。</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办公室</w:t>
            </w:r>
            <w:r>
              <w:rPr>
                <w:rFonts w:hint="default" w:ascii="Times New Roman" w:hAnsi="Times New Roman" w:eastAsia="宋体" w:cs="Times New Roman"/>
                <w:color w:val="auto"/>
                <w:sz w:val="21"/>
                <w:szCs w:val="21"/>
              </w:rPr>
              <w:t>负责适用的产品和质量/环境/安全方面的法律法规的识别、获取和更新，并评价其适用性；提供公司适用的法律法规及要求清单：中华人民共和国劳动法、中华人民共和国劳动合同法、</w:t>
            </w:r>
            <w:r>
              <w:rPr>
                <w:rFonts w:hint="default" w:ascii="Times New Roman" w:hAnsi="Times New Roman" w:eastAsia="宋体" w:cs="Times New Roman"/>
                <w:color w:val="auto"/>
                <w:sz w:val="21"/>
                <w:szCs w:val="21"/>
                <w:lang w:val="en-US" w:eastAsia="zh-CN"/>
              </w:rPr>
              <w:t>民法典</w:t>
            </w:r>
            <w:r>
              <w:rPr>
                <w:rFonts w:hint="default" w:ascii="Times New Roman" w:hAnsi="Times New Roman" w:eastAsia="宋体" w:cs="Times New Roman"/>
                <w:color w:val="auto"/>
                <w:sz w:val="21"/>
                <w:szCs w:val="21"/>
              </w:rPr>
              <w:t>、环境保护法、消防法、固体废弃物环境防治法、工伤保险条例、劳动保护用品管理规定等。法律法规及其他要求在</w:t>
            </w:r>
            <w:r>
              <w:rPr>
                <w:rFonts w:hint="default" w:ascii="Times New Roman" w:hAnsi="Times New Roman" w:eastAsia="宋体" w:cs="Times New Roman"/>
                <w:color w:val="auto"/>
                <w:sz w:val="21"/>
                <w:szCs w:val="21"/>
                <w:lang w:eastAsia="zh-CN"/>
              </w:rPr>
              <w:t>办公室</w:t>
            </w:r>
            <w:r>
              <w:rPr>
                <w:rFonts w:hint="default" w:ascii="Times New Roman" w:hAnsi="Times New Roman" w:eastAsia="宋体" w:cs="Times New Roman"/>
                <w:color w:val="auto"/>
                <w:sz w:val="21"/>
                <w:szCs w:val="21"/>
              </w:rPr>
              <w:t>存档一份，并已电子版的形式发到各部门电脑上。定期在网上查看法规的更新情况，目前均为最新版本。</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策划措施</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6.1.4</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组织管理层策划关于开展环境职业健康安全管理体系中所采取措施，以便管理环境安全目标、环境因素、危险源、合规性义务、法律法规要求、组织识别的风险等。通过合规性评价、目标考核、运行方案、管理评审、内外部沟通等方式以保证管理体系达到预期结果。</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目标</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6.2</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sym w:font="Wingdings 2" w:char="F0A2"/>
            </w:r>
            <w:r>
              <w:rPr>
                <w:rFonts w:hint="default" w:ascii="Times New Roman" w:hAnsi="Times New Roman" w:eastAsia="宋体" w:cs="Times New Roman"/>
                <w:color w:val="auto"/>
                <w:sz w:val="21"/>
                <w:szCs w:val="21"/>
              </w:rPr>
              <w:t>公司环境目标：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a)</w:t>
            </w:r>
            <w:r>
              <w:rPr>
                <w:rFonts w:hint="eastAsia" w:ascii="Times New Roman" w:hAnsi="Times New Roman" w:eastAsia="宋体" w:cs="Times New Roman"/>
                <w:color w:val="auto"/>
                <w:sz w:val="21"/>
                <w:szCs w:val="21"/>
                <w:lang w:val="zh-CN"/>
              </w:rPr>
              <w:t>施工现场噪声符合国家标准；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b)</w:t>
            </w:r>
            <w:r>
              <w:rPr>
                <w:rFonts w:hint="eastAsia" w:ascii="Times New Roman" w:hAnsi="Times New Roman" w:eastAsia="宋体" w:cs="Times New Roman"/>
                <w:color w:val="auto"/>
                <w:sz w:val="21"/>
                <w:szCs w:val="21"/>
                <w:lang w:val="zh-CN"/>
              </w:rPr>
              <w:t>固体废弃物</w:t>
            </w:r>
            <w:r>
              <w:rPr>
                <w:rFonts w:hint="default" w:ascii="Times New Roman" w:hAnsi="Times New Roman" w:eastAsia="宋体" w:cs="Times New Roman"/>
                <w:color w:val="auto"/>
                <w:sz w:val="21"/>
                <w:szCs w:val="21"/>
                <w:lang w:val="zh-CN"/>
              </w:rPr>
              <w:t>100%</w:t>
            </w:r>
            <w:r>
              <w:rPr>
                <w:rFonts w:hint="eastAsia" w:ascii="Times New Roman" w:hAnsi="Times New Roman" w:eastAsia="宋体" w:cs="Times New Roman"/>
                <w:color w:val="auto"/>
                <w:sz w:val="21"/>
                <w:szCs w:val="21"/>
                <w:lang w:val="zh-CN"/>
              </w:rPr>
              <w:t>合规处理，无固废污染；</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c)</w:t>
            </w:r>
            <w:r>
              <w:rPr>
                <w:rFonts w:hint="eastAsia" w:ascii="Times New Roman" w:hAnsi="Times New Roman" w:eastAsia="宋体" w:cs="Times New Roman"/>
                <w:color w:val="auto"/>
                <w:sz w:val="21"/>
                <w:szCs w:val="21"/>
                <w:lang w:val="zh-CN"/>
              </w:rPr>
              <w:t>杜绝火灾事件发生；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zh-CN"/>
              </w:rPr>
              <w:t>d)</w:t>
            </w:r>
            <w:r>
              <w:rPr>
                <w:rFonts w:hint="eastAsia" w:ascii="Times New Roman" w:hAnsi="Times New Roman" w:eastAsia="宋体" w:cs="Times New Roman"/>
                <w:color w:val="auto"/>
                <w:sz w:val="21"/>
                <w:szCs w:val="21"/>
                <w:lang w:val="zh-CN"/>
              </w:rPr>
              <w:t>重大环境污染事件为零</w:t>
            </w:r>
            <w:r>
              <w:rPr>
                <w:rFonts w:hint="default" w:ascii="Times New Roman" w:hAnsi="Times New Roman" w:eastAsia="宋体" w:cs="Times New Roman"/>
                <w:color w:val="auto"/>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sym w:font="Wingdings 2" w:char="F0A2"/>
            </w:r>
            <w:r>
              <w:rPr>
                <w:rFonts w:hint="default" w:ascii="Times New Roman" w:hAnsi="Times New Roman" w:eastAsia="宋体" w:cs="Times New Roman"/>
                <w:color w:val="auto"/>
                <w:sz w:val="21"/>
                <w:szCs w:val="21"/>
              </w:rPr>
              <w:t>公司职业健康安全目标：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a)</w:t>
            </w:r>
            <w:r>
              <w:rPr>
                <w:rFonts w:hint="eastAsia" w:ascii="Times New Roman" w:hAnsi="Times New Roman" w:eastAsia="宋体" w:cs="Times New Roman"/>
                <w:color w:val="auto"/>
                <w:sz w:val="21"/>
                <w:szCs w:val="21"/>
                <w:lang w:val="zh-CN"/>
              </w:rPr>
              <w:t>杜绝火灾、触电事件发生；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zh-CN"/>
              </w:rPr>
              <w:t>b)</w:t>
            </w:r>
            <w:r>
              <w:rPr>
                <w:rFonts w:hint="eastAsia" w:ascii="Times New Roman" w:hAnsi="Times New Roman" w:eastAsia="宋体" w:cs="Times New Roman"/>
                <w:color w:val="auto"/>
                <w:sz w:val="21"/>
                <w:szCs w:val="21"/>
              </w:rPr>
              <w:t>交通事故、物体打击、机械伤害等意外伤害事件零发生；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c)</w:t>
            </w:r>
            <w:r>
              <w:rPr>
                <w:rFonts w:hint="eastAsia" w:ascii="Times New Roman" w:hAnsi="Times New Roman" w:eastAsia="宋体" w:cs="Times New Roman"/>
                <w:color w:val="auto"/>
                <w:sz w:val="21"/>
                <w:szCs w:val="21"/>
                <w:lang w:val="zh-CN"/>
              </w:rPr>
              <w:t>轻伤事故每年控制在</w:t>
            </w:r>
            <w:r>
              <w:rPr>
                <w:rFonts w:hint="default" w:ascii="Times New Roman" w:hAnsi="Times New Roman" w:eastAsia="宋体" w:cs="Times New Roman"/>
                <w:color w:val="auto"/>
                <w:sz w:val="21"/>
                <w:szCs w:val="21"/>
                <w:lang w:val="zh-CN"/>
              </w:rPr>
              <w:t>3</w:t>
            </w:r>
            <w:r>
              <w:rPr>
                <w:rFonts w:hint="eastAsia" w:ascii="Times New Roman" w:hAnsi="Times New Roman" w:eastAsia="宋体" w:cs="Times New Roman"/>
                <w:color w:val="auto"/>
                <w:sz w:val="21"/>
                <w:szCs w:val="21"/>
                <w:lang w:val="zh-CN"/>
              </w:rPr>
              <w:t>‰以内；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w:t>
            </w:r>
            <w:r>
              <w:rPr>
                <w:rFonts w:hint="eastAsia" w:ascii="Times New Roman" w:hAnsi="Times New Roman" w:eastAsia="宋体" w:cs="Times New Roman"/>
                <w:color w:val="auto"/>
                <w:sz w:val="21"/>
                <w:szCs w:val="21"/>
              </w:rPr>
              <w:t>因工死亡事件为零</w:t>
            </w:r>
            <w:r>
              <w:rPr>
                <w:rFonts w:hint="default" w:ascii="Times New Roman" w:hAnsi="Times New Roman" w:eastAsia="宋体" w:cs="Times New Roman"/>
                <w:color w:val="auto"/>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sym w:font="Wingdings 2" w:char="F0A2"/>
            </w:r>
            <w:r>
              <w:rPr>
                <w:rFonts w:hint="default" w:ascii="Times New Roman" w:hAnsi="Times New Roman" w:eastAsia="宋体" w:cs="Times New Roman"/>
                <w:color w:val="auto"/>
                <w:sz w:val="21"/>
                <w:szCs w:val="21"/>
              </w:rPr>
              <w:t>查看202</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年考核结果，显示完成，见各部门考核情况。</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资源提供</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7.1</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sym w:font="Wingdings 2" w:char="F0A2"/>
            </w:r>
            <w:r>
              <w:rPr>
                <w:rFonts w:hint="default" w:ascii="Times New Roman" w:hAnsi="Times New Roman" w:eastAsia="宋体" w:cs="Times New Roman"/>
                <w:color w:val="auto"/>
                <w:sz w:val="21"/>
                <w:szCs w:val="21"/>
              </w:rPr>
              <w:t>组织为建立、实施、保持和持续改进管理体系，结合自有资源及可能从外部供方得到的资源支持，提供了以下资源：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1）资金提供：注册资金</w:t>
            </w:r>
            <w:r>
              <w:rPr>
                <w:rFonts w:hint="eastAsia" w:cs="Times New Roman"/>
                <w:color w:val="auto"/>
                <w:sz w:val="21"/>
                <w:szCs w:val="21"/>
                <w:lang w:val="en-US" w:eastAsia="zh-CN"/>
              </w:rPr>
              <w:t>5000</w:t>
            </w:r>
            <w:r>
              <w:rPr>
                <w:rFonts w:hint="default" w:ascii="Times New Roman" w:hAnsi="Times New Roman" w:eastAsia="宋体" w:cs="Times New Roman"/>
                <w:color w:val="auto"/>
                <w:sz w:val="21"/>
                <w:szCs w:val="21"/>
              </w:rPr>
              <w:t>万元；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2）人力资源：配备</w:t>
            </w:r>
            <w:r>
              <w:rPr>
                <w:rFonts w:hint="default" w:ascii="Times New Roman" w:hAnsi="Times New Roman" w:eastAsia="宋体" w:cs="Times New Roman"/>
                <w:color w:val="auto"/>
                <w:sz w:val="21"/>
                <w:szCs w:val="21"/>
                <w:lang w:val="zh-CN"/>
              </w:rPr>
              <w:t>建造师、项目经理、安全管理人员、质量员、材料员、资料员、机械员、施工员等各类人员，</w:t>
            </w:r>
            <w:r>
              <w:rPr>
                <w:rFonts w:hint="default" w:ascii="Times New Roman" w:hAnsi="Times New Roman" w:eastAsia="宋体" w:cs="Times New Roman"/>
                <w:color w:val="auto"/>
                <w:sz w:val="21"/>
                <w:szCs w:val="21"/>
              </w:rPr>
              <w:t>配备充足；</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3）建筑物及相关设施：公司</w:t>
            </w:r>
            <w:r>
              <w:rPr>
                <w:rFonts w:hint="eastAsia" w:cs="Times New Roman"/>
                <w:color w:val="auto"/>
                <w:sz w:val="21"/>
                <w:szCs w:val="21"/>
                <w:lang w:val="en-US" w:eastAsia="zh-CN"/>
              </w:rPr>
              <w:t>租用</w:t>
            </w:r>
            <w:r>
              <w:rPr>
                <w:rFonts w:hint="eastAsia" w:ascii="宋体" w:hAnsi="宋体" w:eastAsia="宋体"/>
                <w:color w:val="auto"/>
                <w:sz w:val="21"/>
                <w:szCs w:val="21"/>
                <w:lang w:eastAsia="zh-CN"/>
              </w:rPr>
              <w:t>高碑店市东盛办事处麻家营村北</w:t>
            </w:r>
            <w:r>
              <w:rPr>
                <w:rFonts w:hint="default" w:ascii="Times New Roman" w:hAnsi="Times New Roman" w:eastAsia="宋体" w:cs="Times New Roman"/>
                <w:color w:val="auto"/>
                <w:sz w:val="21"/>
                <w:szCs w:val="21"/>
              </w:rPr>
              <w:t>作为公司办公、经营</w:t>
            </w:r>
            <w:r>
              <w:rPr>
                <w:rFonts w:hint="eastAsia" w:cs="Times New Roman"/>
                <w:color w:val="auto"/>
                <w:sz w:val="21"/>
                <w:szCs w:val="21"/>
                <w:lang w:val="en-US" w:eastAsia="zh-CN"/>
              </w:rPr>
              <w:t>场所</w:t>
            </w:r>
            <w:r>
              <w:rPr>
                <w:rFonts w:hint="default" w:ascii="Times New Roman" w:hAnsi="Times New Roman" w:eastAsia="宋体" w:cs="Times New Roman"/>
                <w:color w:val="auto"/>
                <w:sz w:val="21"/>
                <w:szCs w:val="21"/>
              </w:rPr>
              <w:t>，面积</w:t>
            </w:r>
            <w:r>
              <w:rPr>
                <w:rFonts w:hint="eastAsia" w:cs="Times New Roman"/>
                <w:color w:val="auto"/>
                <w:sz w:val="21"/>
                <w:szCs w:val="21"/>
                <w:lang w:val="en-US" w:eastAsia="zh-CN"/>
              </w:rPr>
              <w:t>30</w:t>
            </w:r>
            <w:r>
              <w:rPr>
                <w:rFonts w:hint="default" w:ascii="Times New Roman" w:hAnsi="Times New Roman" w:eastAsia="宋体" w:cs="Times New Roman"/>
                <w:color w:val="auto"/>
                <w:sz w:val="21"/>
                <w:szCs w:val="21"/>
              </w:rPr>
              <w:t>0平米，区域划分明确，各部门独立办公，能够满足公司办公/经营需求。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4）生</w:t>
            </w:r>
            <w:r>
              <w:rPr>
                <w:rFonts w:hint="default" w:ascii="Times New Roman" w:hAnsi="Times New Roman" w:eastAsia="宋体" w:cs="Times New Roman"/>
                <w:color w:val="auto"/>
                <w:kern w:val="0"/>
                <w:sz w:val="21"/>
                <w:szCs w:val="21"/>
              </w:rPr>
              <w:t>产设施：自备设备：</w:t>
            </w:r>
            <w:r>
              <w:rPr>
                <w:rFonts w:hint="eastAsia" w:ascii="Times New Roman" w:hAnsi="Times New Roman" w:eastAsia="宋体" w:cs="Times New Roman"/>
                <w:color w:val="auto"/>
                <w:kern w:val="0"/>
                <w:sz w:val="21"/>
                <w:szCs w:val="21"/>
              </w:rPr>
              <w:t>光缆熔接机</w:t>
            </w:r>
            <w:r>
              <w:rPr>
                <w:rFonts w:hint="eastAsia" w:ascii="Times New Roman" w:hAnsi="Times New Roman" w:eastAsia="宋体" w:cs="Times New Roman"/>
                <w:color w:val="auto"/>
                <w:kern w:val="0"/>
                <w:sz w:val="21"/>
                <w:szCs w:val="21"/>
                <w:lang w:eastAsia="zh-CN"/>
              </w:rPr>
              <w:t>、</w:t>
            </w:r>
            <w:r>
              <w:rPr>
                <w:rFonts w:hint="eastAsia" w:ascii="Times New Roman" w:hAnsi="Times New Roman" w:eastAsia="宋体" w:cs="Times New Roman"/>
                <w:color w:val="auto"/>
                <w:kern w:val="0"/>
                <w:sz w:val="21"/>
                <w:szCs w:val="21"/>
              </w:rPr>
              <w:t>工程车配置</w:t>
            </w:r>
            <w:r>
              <w:rPr>
                <w:rFonts w:hint="eastAsia" w:ascii="Times New Roman" w:hAnsi="Times New Roman" w:eastAsia="宋体" w:cs="Times New Roman"/>
                <w:color w:val="auto"/>
                <w:kern w:val="0"/>
                <w:sz w:val="21"/>
                <w:szCs w:val="21"/>
                <w:lang w:eastAsia="zh-CN"/>
              </w:rPr>
              <w:t>、</w:t>
            </w:r>
            <w:r>
              <w:rPr>
                <w:rFonts w:hint="eastAsia" w:ascii="Times New Roman" w:hAnsi="Times New Roman" w:eastAsia="宋体" w:cs="Times New Roman"/>
                <w:color w:val="auto"/>
                <w:kern w:val="0"/>
                <w:sz w:val="21"/>
                <w:szCs w:val="21"/>
              </w:rPr>
              <w:t>OTDR 配置</w:t>
            </w:r>
            <w:r>
              <w:rPr>
                <w:rFonts w:hint="eastAsia" w:ascii="Times New Roman" w:hAnsi="Times New Roman" w:eastAsia="宋体" w:cs="Times New Roman"/>
                <w:color w:val="auto"/>
                <w:kern w:val="0"/>
                <w:sz w:val="21"/>
                <w:szCs w:val="21"/>
                <w:lang w:eastAsia="zh-CN"/>
              </w:rPr>
              <w:t>、</w:t>
            </w:r>
            <w:r>
              <w:rPr>
                <w:rFonts w:hint="eastAsia" w:ascii="Times New Roman" w:hAnsi="Times New Roman" w:eastAsia="宋体" w:cs="Times New Roman"/>
                <w:color w:val="auto"/>
                <w:kern w:val="0"/>
                <w:sz w:val="21"/>
                <w:szCs w:val="21"/>
              </w:rPr>
              <w:t>红光笔</w:t>
            </w:r>
            <w:r>
              <w:rPr>
                <w:rFonts w:hint="eastAsia" w:ascii="Times New Roman" w:hAnsi="Times New Roman" w:eastAsia="宋体" w:cs="Times New Roman"/>
                <w:color w:val="auto"/>
                <w:kern w:val="0"/>
                <w:sz w:val="21"/>
                <w:szCs w:val="21"/>
                <w:lang w:eastAsia="zh-CN"/>
              </w:rPr>
              <w:t>、</w:t>
            </w:r>
            <w:r>
              <w:rPr>
                <w:rFonts w:hint="eastAsia" w:ascii="Times New Roman" w:hAnsi="Times New Roman" w:eastAsia="宋体" w:cs="Times New Roman"/>
                <w:color w:val="auto"/>
                <w:kern w:val="0"/>
                <w:sz w:val="21"/>
                <w:szCs w:val="21"/>
              </w:rPr>
              <w:t>有害所体检测仪、蹬梯、挑线杆及线缆安装工具</w:t>
            </w:r>
            <w:r>
              <w:rPr>
                <w:rFonts w:hint="default" w:ascii="Times New Roman" w:hAnsi="Times New Roman" w:eastAsia="宋体" w:cs="Times New Roman"/>
                <w:color w:val="auto"/>
                <w:kern w:val="0"/>
                <w:sz w:val="21"/>
                <w:szCs w:val="21"/>
              </w:rPr>
              <w:t>等，根据工程需要，租赁当地施工机械，满足施工现</w:t>
            </w:r>
            <w:r>
              <w:rPr>
                <w:rFonts w:hint="default" w:ascii="Times New Roman" w:hAnsi="Times New Roman" w:eastAsia="宋体" w:cs="Times New Roman"/>
                <w:color w:val="auto"/>
                <w:sz w:val="21"/>
                <w:szCs w:val="21"/>
              </w:rPr>
              <w:t>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5）沟通：建立了内外部沟通的渠道、方式；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6）过程运行环境：各部门办公区域均设置了空调，各部门办公区域干净整洁、通风照明状况良好、温度适宜；施工现场严格按照安全文明施工要求对施工环境进行控制；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7）文件资源：组织建立了确保管理体系有效运行所需的形成文件的信息。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sym w:font="Wingdings 2" w:char="F098"/>
            </w:r>
            <w:r>
              <w:rPr>
                <w:rFonts w:hint="default" w:ascii="Times New Roman" w:hAnsi="Times New Roman" w:eastAsia="宋体" w:cs="Times New Roman"/>
                <w:color w:val="auto"/>
                <w:sz w:val="21"/>
                <w:szCs w:val="21"/>
              </w:rPr>
              <w:t>企业投入体系管理的人员、技术、资金、基础设施等资源基本能够满足管理体系运行需要，满足</w:t>
            </w:r>
            <w:r>
              <w:rPr>
                <w:rFonts w:hint="eastAsia" w:cs="Times New Roman"/>
                <w:color w:val="auto"/>
                <w:sz w:val="21"/>
                <w:szCs w:val="21"/>
                <w:lang w:eastAsia="zh-CN"/>
              </w:rPr>
              <w:t>资质范围内的建筑机电安装工程专业承包、消防设施工程专业承包</w:t>
            </w:r>
            <w:r>
              <w:rPr>
                <w:rFonts w:hint="default" w:ascii="Times New Roman" w:hAnsi="Times New Roman" w:eastAsia="宋体" w:cs="Times New Roman"/>
                <w:color w:val="auto"/>
                <w:sz w:val="21"/>
                <w:szCs w:val="21"/>
              </w:rPr>
              <w:t>的需要。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为管理体系的运行而提供的资源基本满足要求。</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总则</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9.1.1</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组织策划了对绩效的监视和测量，对绩效的分析和评价，对事项进行汇报的程序等。保留了必要的记录文件。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公司通过管理评审和内部审核，以及定期的目标考核，对发现的问题采取纠正和必要的纠正措施，确保管理体系绩效和有效性。</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管理评审</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9.3</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制定并执行《管理评审控制程序》：一年至少要进行一次管理评审，由总经理主持。特殊情况下，可增加管理评审频次。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sym w:font="Wingdings 2" w:char="F098"/>
            </w:r>
            <w:r>
              <w:rPr>
                <w:rFonts w:hint="default" w:ascii="Times New Roman" w:hAnsi="Times New Roman" w:eastAsia="宋体" w:cs="Times New Roman"/>
                <w:color w:val="auto"/>
                <w:sz w:val="21"/>
                <w:szCs w:val="21"/>
              </w:rPr>
              <w:t>查《管理评审计划》，</w:t>
            </w:r>
            <w:r>
              <w:rPr>
                <w:rFonts w:hint="eastAsia" w:ascii="Times New Roman" w:hAnsi="Times New Roman" w:eastAsia="宋体" w:cs="Times New Roman"/>
                <w:color w:val="auto"/>
                <w:sz w:val="21"/>
                <w:szCs w:val="21"/>
              </w:rPr>
              <w:t>编制：</w:t>
            </w:r>
            <w:r>
              <w:rPr>
                <w:rFonts w:hint="eastAsia" w:cs="Times New Roman"/>
                <w:color w:val="auto"/>
                <w:sz w:val="21"/>
                <w:szCs w:val="21"/>
                <w:lang w:eastAsia="zh-CN"/>
              </w:rPr>
              <w:t>办公室</w:t>
            </w:r>
            <w:r>
              <w:rPr>
                <w:rFonts w:hint="eastAsia" w:ascii="Times New Roman" w:hAnsi="Times New Roman" w:eastAsia="宋体" w:cs="Times New Roman"/>
                <w:color w:val="auto"/>
                <w:sz w:val="21"/>
                <w:szCs w:val="21"/>
              </w:rPr>
              <w:t xml:space="preserve"> </w:t>
            </w:r>
            <w:r>
              <w:rPr>
                <w:rFonts w:hint="eastAsia" w:ascii="楷体" w:hAnsi="楷体" w:eastAsia="楷体"/>
              </w:rPr>
              <w:t>审核：安景治  批准：侯建章  日期：2021年</w:t>
            </w:r>
            <w:r>
              <w:rPr>
                <w:rFonts w:ascii="楷体" w:hAnsi="楷体" w:eastAsia="楷体"/>
              </w:rPr>
              <w:t>7</w:t>
            </w:r>
            <w:r>
              <w:rPr>
                <w:rFonts w:hint="eastAsia" w:ascii="楷体" w:hAnsi="楷体" w:eastAsia="楷体"/>
              </w:rPr>
              <w:t>月</w:t>
            </w:r>
            <w:r>
              <w:rPr>
                <w:rFonts w:ascii="楷体" w:hAnsi="楷体" w:eastAsia="楷体"/>
              </w:rPr>
              <w:t>10</w:t>
            </w:r>
            <w:r>
              <w:rPr>
                <w:rFonts w:hint="eastAsia" w:ascii="楷体" w:hAnsi="楷体" w:eastAsia="楷体"/>
              </w:rPr>
              <w:t>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计划明确了管理评审目的、评审范围、时间（2021.7.</w:t>
            </w:r>
            <w:r>
              <w:rPr>
                <w:rFonts w:hint="eastAsia" w:cs="Times New Roman"/>
                <w:color w:val="auto"/>
                <w:sz w:val="21"/>
                <w:szCs w:val="21"/>
                <w:lang w:val="en-US" w:eastAsia="zh-CN"/>
              </w:rPr>
              <w:t>16</w:t>
            </w:r>
            <w:r>
              <w:rPr>
                <w:rFonts w:hint="default" w:ascii="Times New Roman" w:hAnsi="Times New Roman" w:eastAsia="宋体" w:cs="Times New Roman"/>
                <w:color w:val="auto"/>
                <w:sz w:val="21"/>
                <w:szCs w:val="21"/>
              </w:rPr>
              <w:t>）、评审内容、各部门评审准备工作要求等。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－查管理评审内容：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1、公司管理体系文件与标准的符合性、适宜性、充分性和有效性。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2、体系与法律法规及内外部环境变化的适宜性、符合性情况；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3、公司的管理方针、目标的适宜性、目标指标等的完成情况；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4、公司的机构设置、资源配置情况；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5、事故、事件、不符合、纠正和预防措施处理情况；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6、顾客及相关方的反馈处理情况；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7、管理体系内部审核情况；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8、质量、环境和职业健康安全绩效测量情况；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9、环境因素和危险因素识别与评价控制情况；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10、应对风险和机遇所采取措施的有效性；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11、其他改进的建议。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—查《管理评审报告》，报告中记录了：评审目的、评审范围、评审依据、评审内容，评审参加人员、评审结论、改进建议等，评审内容包括了认证标准和规范要求的全部内容。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评审结论：公司按照GB/T19001-2016、GB/T50430-2017、GB/T24001-2016、</w:t>
            </w:r>
            <w:r>
              <w:rPr>
                <w:rFonts w:hint="eastAsia" w:cs="Times New Roman"/>
                <w:color w:val="auto"/>
                <w:sz w:val="21"/>
                <w:szCs w:val="21"/>
                <w:lang w:val="en-US" w:eastAsia="zh-CN"/>
              </w:rPr>
              <w:t>GB/T</w:t>
            </w:r>
            <w:r>
              <w:rPr>
                <w:rFonts w:hint="default" w:ascii="Times New Roman" w:hAnsi="Times New Roman" w:eastAsia="宋体" w:cs="Times New Roman"/>
                <w:color w:val="auto"/>
                <w:sz w:val="21"/>
                <w:szCs w:val="21"/>
              </w:rPr>
              <w:t>45001</w:t>
            </w:r>
            <w:r>
              <w:rPr>
                <w:rFonts w:hint="eastAsia" w:cs="Times New Roman"/>
                <w:color w:val="auto"/>
                <w:sz w:val="21"/>
                <w:szCs w:val="21"/>
                <w:lang w:val="en-US" w:eastAsia="zh-CN"/>
              </w:rPr>
              <w:t>-2020</w:t>
            </w:r>
            <w:r>
              <w:rPr>
                <w:rFonts w:hint="default" w:ascii="Times New Roman" w:hAnsi="Times New Roman" w:eastAsia="宋体" w:cs="Times New Roman"/>
                <w:color w:val="auto"/>
                <w:sz w:val="21"/>
                <w:szCs w:val="21"/>
              </w:rPr>
              <w:t>标准建立的管理体系，是持续适宜、充分的和有效的。达到了顾客满意和持续改进的目的。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sym w:font="Wingdings 2" w:char="F098"/>
            </w:r>
            <w:r>
              <w:rPr>
                <w:rFonts w:hint="default" w:ascii="Times New Roman" w:hAnsi="Times New Roman" w:eastAsia="宋体" w:cs="Times New Roman"/>
                <w:color w:val="auto"/>
                <w:sz w:val="21"/>
                <w:szCs w:val="21"/>
              </w:rPr>
              <w:t>改进的建议：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（1）项目上组织施工技能比赛，交流施工工艺技术，评比先进。促进整体技术人员水平的提高。</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 xml:space="preserve">（2）以施工承包为主，组建专业班组，内部管理小包工，班组自主实行奖惩制度，调动工人工作的积极性。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（3）项目开始施工前及新工人进场都要进行系统的安全意识教育及安全基本常识的培训，工程部负责监督考核。</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 xml:space="preserve"> </w:t>
            </w:r>
            <w:r>
              <w:rPr>
                <w:rFonts w:hint="eastAsia" w:cs="Times New Roman"/>
                <w:color w:val="auto"/>
                <w:sz w:val="21"/>
                <w:szCs w:val="21"/>
                <w:lang w:val="en-US" w:eastAsia="zh-CN"/>
              </w:rPr>
              <w:t>经查，已实施。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sym w:font="Wingdings 2" w:char="F098"/>
            </w:r>
            <w:r>
              <w:rPr>
                <w:rFonts w:hint="default" w:ascii="Times New Roman" w:hAnsi="Times New Roman" w:eastAsia="宋体" w:cs="Times New Roman"/>
                <w:color w:val="auto"/>
                <w:sz w:val="21"/>
                <w:szCs w:val="21"/>
              </w:rPr>
              <w:t>公司管理评审过程基本符合标准要求。</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总则</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10.1</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查公司在建立、实施管理体系中：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a.制订各种控制程序文件；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b.通过内审、管理评审评价管理体系的符合性；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c.通过对绩效的监视测量评价软件开发过程涉及质量、环境、职业健康安全管理的符合性；通过日常数据分析，采取纠正、预防措施，达到持续改进目的。</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持续改进</w:t>
            </w:r>
          </w:p>
        </w:tc>
        <w:tc>
          <w:tcPr>
            <w:tcW w:w="35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10.3</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查持续改进：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 通过管理体系运行，管理方针、目标的实施，内审、管理评审进行持续改进；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b. 通过数据分析、纠正、预防措施实施达到持续改进；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 通过顾客满意度调查，改进、提高产品质量，满足顾客需求，达到持续改进的目的。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管理评审提出改进措施。</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513" w:type="pct"/>
            <w:noWrap w:val="0"/>
            <w:vAlign w:val="top"/>
          </w:tcPr>
          <w:p>
            <w:pPr>
              <w:rPr>
                <w:rFonts w:hint="default" w:ascii="Times New Roman" w:hAnsi="Times New Roman" w:eastAsia="宋体" w:cs="宋体"/>
                <w:kern w:val="2"/>
                <w:sz w:val="21"/>
                <w:lang w:val="en-US" w:eastAsia="zh-CN" w:bidi="ar-SA"/>
              </w:rPr>
            </w:pPr>
            <w:r>
              <w:rPr>
                <w:rFonts w:hint="eastAsia" w:ascii="Times New Roman" w:hAnsi="Times New Roman" w:eastAsia="宋体" w:cs="宋体"/>
                <w:lang w:val="en-US" w:eastAsia="zh-CN"/>
              </w:rPr>
              <w:t>范围的确认，资质的确认，法律法规执行情况，质量环境安全投诉或事故/政府主管部门监督抽查情况，一阶段不符合的验证</w:t>
            </w:r>
          </w:p>
        </w:tc>
        <w:tc>
          <w:tcPr>
            <w:tcW w:w="352" w:type="pct"/>
            <w:noWrap w:val="0"/>
            <w:vAlign w:val="top"/>
          </w:tcPr>
          <w:p>
            <w:pPr>
              <w:rPr>
                <w:rFonts w:hint="default" w:ascii="Times New Roman" w:hAnsi="Times New Roman" w:eastAsia="宋体" w:cs="宋体"/>
                <w:kern w:val="2"/>
                <w:sz w:val="21"/>
                <w:lang w:val="en-US" w:eastAsia="zh-CN" w:bidi="ar-SA"/>
              </w:rPr>
            </w:pPr>
          </w:p>
        </w:tc>
        <w:tc>
          <w:tcPr>
            <w:tcW w:w="3820" w:type="pct"/>
            <w:noWrap w:val="0"/>
            <w:vAlign w:val="top"/>
          </w:tcPr>
          <w:p>
            <w:pPr>
              <w:rPr>
                <w:rFonts w:hint="eastAsia" w:ascii="Times New Roman" w:hAnsi="Times New Roman" w:eastAsia="宋体" w:cs="宋体"/>
              </w:rPr>
            </w:pPr>
            <w:r>
              <w:rPr>
                <w:rFonts w:hint="eastAsia" w:ascii="Times New Roman" w:hAnsi="Times New Roman" w:eastAsia="宋体" w:cs="宋体"/>
              </w:rPr>
              <w:t>现场确认，公司管理体系覆盖范围：</w:t>
            </w:r>
          </w:p>
          <w:p>
            <w:pPr>
              <w:rPr>
                <w:sz w:val="20"/>
              </w:rPr>
            </w:pPr>
            <w:bookmarkStart w:id="0" w:name="审核范围"/>
            <w:r>
              <w:rPr>
                <w:sz w:val="20"/>
              </w:rPr>
              <w:t>EC：资质范围内的通信工程施工总承包</w:t>
            </w:r>
          </w:p>
          <w:p>
            <w:pPr>
              <w:rPr>
                <w:sz w:val="20"/>
              </w:rPr>
            </w:pPr>
            <w:r>
              <w:rPr>
                <w:sz w:val="20"/>
              </w:rPr>
              <w:t>E：资质范围内的通信工程施工总承包所涉及场所的相关环境管理活动</w:t>
            </w:r>
          </w:p>
          <w:p>
            <w:pPr>
              <w:rPr>
                <w:rFonts w:hint="eastAsia" w:ascii="Times New Roman" w:hAnsi="Times New Roman" w:eastAsia="宋体" w:cs="宋体"/>
              </w:rPr>
            </w:pPr>
            <w:r>
              <w:rPr>
                <w:sz w:val="20"/>
              </w:rPr>
              <w:t>O：资质范围内的通信工程施工总承包所涉及场所的相关职业健康安全管理活动</w:t>
            </w:r>
            <w:bookmarkEnd w:id="0"/>
            <w:r>
              <w:rPr>
                <w:rFonts w:hint="eastAsia" w:ascii="Times New Roman" w:hAnsi="Times New Roman" w:eastAsia="宋体" w:cs="宋体"/>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提供有效的营业执照、施工资质，认证范围在营业执照范围内。</w:t>
            </w:r>
          </w:p>
          <w:p>
            <w:pPr>
              <w:rPr>
                <w:rFonts w:hint="default" w:ascii="Times New Roman" w:hAnsi="Times New Roman" w:eastAsia="宋体" w:cs="宋体"/>
                <w:lang w:val="en-US" w:eastAsia="zh-CN"/>
              </w:rPr>
            </w:pPr>
            <w:r>
              <w:rPr>
                <w:rFonts w:hint="eastAsia" w:ascii="Times New Roman" w:hAnsi="Times New Roman" w:eastAsia="宋体" w:cs="宋体"/>
              </w:rPr>
              <w:t>公司严格执行国标及行业要求和法律、法规要求</w:t>
            </w:r>
            <w:r>
              <w:rPr>
                <w:rFonts w:hint="eastAsia" w:ascii="Times New Roman" w:hAnsi="Times New Roman" w:eastAsia="宋体" w:cs="宋体"/>
                <w:lang w:eastAsia="zh-CN"/>
              </w:rPr>
              <w:t>，</w:t>
            </w:r>
            <w:r>
              <w:rPr>
                <w:rFonts w:hint="eastAsia" w:ascii="Times New Roman" w:hAnsi="Times New Roman" w:eastAsia="宋体" w:cs="宋体"/>
              </w:rPr>
              <w:t>近一年，公司没有顾客的重大产品质量投诉，通过顾客满意度调查，顾客对公司提供的产品普遍反映较好。</w:t>
            </w:r>
            <w:r>
              <w:rPr>
                <w:rFonts w:hint="eastAsia" w:ascii="Times New Roman" w:hAnsi="Times New Roman" w:eastAsia="宋体" w:cs="宋体"/>
                <w:lang w:val="en-US" w:eastAsia="zh-CN"/>
              </w:rPr>
              <w:t>没有环境安全事故发生，无政府主管部门监督抽查情况。</w:t>
            </w:r>
          </w:p>
          <w:p>
            <w:pPr>
              <w:rPr>
                <w:rFonts w:hint="default" w:ascii="Times New Roman" w:hAnsi="Times New Roman" w:eastAsia="宋体" w:cs="宋体"/>
                <w:kern w:val="2"/>
                <w:sz w:val="21"/>
                <w:lang w:val="en-US" w:eastAsia="zh-CN" w:bidi="ar-SA"/>
              </w:rPr>
            </w:pPr>
            <w:r>
              <w:rPr>
                <w:rFonts w:hint="eastAsia" w:ascii="Times New Roman" w:hAnsi="Times New Roman" w:eastAsia="宋体" w:cs="宋体"/>
                <w:lang w:eastAsia="zh-CN"/>
              </w:rPr>
              <w:t>一阶段问题验证：一阶段</w:t>
            </w:r>
            <w:r>
              <w:rPr>
                <w:rFonts w:hint="eastAsia" w:ascii="Times New Roman" w:hAnsi="Times New Roman" w:eastAsia="宋体" w:cs="宋体"/>
                <w:lang w:val="en-US" w:eastAsia="zh-CN"/>
              </w:rPr>
              <w:t>无不符合情况发生</w:t>
            </w:r>
            <w:r>
              <w:rPr>
                <w:rFonts w:hint="eastAsia" w:ascii="Times New Roman" w:hAnsi="Times New Roman" w:eastAsia="宋体" w:cs="宋体"/>
                <w:lang w:eastAsia="zh-CN"/>
              </w:rPr>
              <w:t>。</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p>
        </w:tc>
      </w:tr>
    </w:tbl>
    <w:p>
      <w:r>
        <w:ptab w:relativeTo="margin" w:alignment="center" w:leader="none"/>
      </w:r>
    </w:p>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5"/>
        <w:gridCol w:w="11350"/>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rFonts w:ascii="Times New Roman" w:hAnsi="Times New Roman"/>
                <w:color w:val="auto"/>
              </w:rPr>
            </w:pPr>
            <w:r>
              <w:rPr>
                <w:rFonts w:ascii="Times New Roman" w:hAnsi="Times New Roman"/>
                <w:color w:val="auto"/>
              </w:rPr>
              <w:t>过程与活动、抽样计划</w:t>
            </w:r>
          </w:p>
        </w:tc>
        <w:tc>
          <w:tcPr>
            <w:tcW w:w="35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条款</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受审核部门：</w:t>
            </w:r>
            <w:r>
              <w:rPr>
                <w:rFonts w:hint="eastAsia"/>
                <w:color w:val="auto"/>
                <w:lang w:val="en-US" w:eastAsia="zh-CN"/>
              </w:rPr>
              <w:t>工程部</w:t>
            </w:r>
            <w:r>
              <w:rPr>
                <w:rFonts w:ascii="Times New Roman" w:hAnsi="Times New Roman"/>
                <w:color w:val="auto"/>
              </w:rPr>
              <w:t xml:space="preserve">       </w:t>
            </w:r>
            <w:r>
              <w:rPr>
                <w:rFonts w:hint="eastAsia" w:ascii="Times New Roman" w:hAnsi="Times New Roman"/>
                <w:color w:val="auto"/>
                <w:lang w:val="en-US" w:eastAsia="zh-CN"/>
              </w:rPr>
              <w:t xml:space="preserve">    </w:t>
            </w:r>
            <w:r>
              <w:rPr>
                <w:rFonts w:ascii="Times New Roman" w:hAnsi="Times New Roman"/>
                <w:color w:val="auto"/>
              </w:rPr>
              <w:t xml:space="preserve"> </w:t>
            </w:r>
            <w:r>
              <w:rPr>
                <w:rFonts w:hint="eastAsia" w:ascii="楷体" w:hAnsi="楷体" w:eastAsia="楷体" w:cs="楷体"/>
                <w:color w:val="auto"/>
                <w:szCs w:val="21"/>
              </w:rPr>
              <w:t>主管领导：</w:t>
            </w:r>
            <w:r>
              <w:rPr>
                <w:rFonts w:hint="eastAsia" w:ascii="楷体" w:hAnsi="楷体" w:eastAsia="楷体"/>
                <w:szCs w:val="21"/>
              </w:rPr>
              <w:t>李国建   陪同人员：</w:t>
            </w:r>
            <w:r>
              <w:rPr>
                <w:rFonts w:hint="eastAsia" w:ascii="楷体" w:hAnsi="楷体" w:eastAsia="楷体"/>
                <w:szCs w:val="21"/>
                <w:lang w:val="en-US" w:eastAsia="zh-CN"/>
              </w:rPr>
              <w:t>刘腾</w:t>
            </w:r>
          </w:p>
        </w:tc>
        <w:tc>
          <w:tcPr>
            <w:tcW w:w="32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rFonts w:hint="default" w:ascii="Times New Roman" w:hAnsi="Times New Roman" w:eastAsia="宋体"/>
                <w:color w:val="auto"/>
                <w:lang w:val="en-US" w:eastAsia="zh-CN"/>
              </w:rPr>
            </w:pPr>
            <w:r>
              <w:rPr>
                <w:rFonts w:ascii="Times New Roman" w:hAnsi="Times New Roman"/>
                <w:color w:val="auto"/>
              </w:rPr>
              <w:t xml:space="preserve">审核员：吉洁    </w:t>
            </w:r>
            <w:r>
              <w:rPr>
                <w:rFonts w:hint="eastAsia" w:ascii="Times New Roman" w:hAnsi="Times New Roman"/>
                <w:color w:val="auto"/>
                <w:lang w:val="en-US" w:eastAsia="zh-CN"/>
              </w:rPr>
              <w:t>周文廷</w:t>
            </w:r>
            <w:r>
              <w:rPr>
                <w:rFonts w:ascii="Times New Roman" w:hAnsi="Times New Roman"/>
                <w:color w:val="auto"/>
              </w:rPr>
              <w:t xml:space="preserve">         </w:t>
            </w:r>
            <w:r>
              <w:rPr>
                <w:rFonts w:hint="eastAsia"/>
                <w:color w:val="auto"/>
                <w:lang w:val="en-US" w:eastAsia="zh-CN"/>
              </w:rPr>
              <w:t xml:space="preserve">   </w:t>
            </w:r>
            <w:r>
              <w:rPr>
                <w:rFonts w:ascii="Times New Roman" w:hAnsi="Times New Roman"/>
                <w:color w:val="auto"/>
              </w:rPr>
              <w:t>审核时间：</w:t>
            </w:r>
            <w:r>
              <w:rPr>
                <w:rFonts w:hint="eastAsia"/>
                <w:color w:val="auto"/>
                <w:lang w:val="en-US" w:eastAsia="zh-CN"/>
              </w:rPr>
              <w:t>2021.12.18</w:t>
            </w:r>
          </w:p>
        </w:tc>
        <w:tc>
          <w:tcPr>
            <w:tcW w:w="32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审核条款：</w:t>
            </w:r>
            <w:r>
              <w:rPr>
                <w:rFonts w:hint="default" w:ascii="Times New Roman" w:hAnsi="Times New Roman" w:eastAsia="宋体" w:cs="Times New Roman"/>
                <w:color w:val="auto"/>
                <w:sz w:val="21"/>
                <w:szCs w:val="21"/>
                <w:lang w:val="en-US" w:eastAsia="zh-CN"/>
              </w:rPr>
              <w:t>EO6.1.2/8.1/</w:t>
            </w:r>
          </w:p>
        </w:tc>
        <w:tc>
          <w:tcPr>
            <w:tcW w:w="32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环境因素、危险源辨识评价和控制措施的确定</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6.1.2</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提供《环境因素识别一览表》，其中包括办公区、施工现场等，包括固废排放、火灾的发生、原材料损耗、能源的消耗、</w:t>
            </w:r>
            <w:r>
              <w:rPr>
                <w:rFonts w:hint="eastAsia"/>
                <w:color w:val="auto"/>
                <w:lang w:val="en-US" w:eastAsia="zh-CN"/>
              </w:rPr>
              <w:t>粉尘</w:t>
            </w:r>
            <w:r>
              <w:rPr>
                <w:rFonts w:ascii="Times New Roman" w:hAnsi="Times New Roman"/>
                <w:color w:val="auto"/>
              </w:rPr>
              <w:t>排放、噪声排放等。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可以提供《重要环境因素清单》，其中</w:t>
            </w:r>
            <w:r>
              <w:rPr>
                <w:rFonts w:hint="eastAsia"/>
                <w:color w:val="auto"/>
                <w:lang w:val="en-US" w:eastAsia="zh-CN"/>
              </w:rPr>
              <w:t>部门涉及</w:t>
            </w:r>
            <w:r>
              <w:rPr>
                <w:rFonts w:ascii="Times New Roman" w:hAnsi="Times New Roman"/>
                <w:color w:val="auto"/>
              </w:rPr>
              <w:t>重要环境因素：固体废弃物排放、噪声排放、</w:t>
            </w:r>
            <w:r>
              <w:rPr>
                <w:rFonts w:hint="eastAsia"/>
                <w:color w:val="auto"/>
                <w:lang w:val="en-US" w:eastAsia="zh-CN"/>
              </w:rPr>
              <w:t>粉尘排放</w:t>
            </w:r>
            <w:r>
              <w:rPr>
                <w:rFonts w:ascii="Times New Roman" w:hAnsi="Times New Roman"/>
                <w:color w:val="auto"/>
              </w:rPr>
              <w:t>，评价准确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提供《危险源识别一览表》，按照活动、区域进行了识别，其中包括：线路老化、违规吸烟、消防设施失效、人走未断电、电线乱拉乱扯、未配置触电保护装置、各种电器漏电、各种电器防护装置失灵、人员未佩戴防护用具、设备无防护装置、设备故障、设备操作噪声排放影响听力等，评价基本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提供《重大危险源清单》，其中</w:t>
            </w:r>
            <w:r>
              <w:rPr>
                <w:rFonts w:hint="eastAsia"/>
                <w:color w:val="auto"/>
                <w:lang w:val="en-US" w:eastAsia="zh-CN"/>
              </w:rPr>
              <w:t>部门涉及</w:t>
            </w:r>
            <w:r>
              <w:rPr>
                <w:rFonts w:ascii="Times New Roman" w:hAnsi="Times New Roman"/>
                <w:color w:val="auto"/>
              </w:rPr>
              <w:t>重大危险源：</w:t>
            </w:r>
            <w:r>
              <w:rPr>
                <w:rFonts w:hint="eastAsia" w:ascii="宋体"/>
                <w:color w:val="auto"/>
                <w:sz w:val="21"/>
                <w:szCs w:val="21"/>
                <w:lang w:val="en-US" w:eastAsia="zh-CN"/>
              </w:rPr>
              <w:t>火灾事故的发生、触电、噪声伤害、机械伤害、物体打击</w:t>
            </w:r>
            <w:r>
              <w:rPr>
                <w:rFonts w:ascii="Times New Roman" w:hAnsi="Times New Roman"/>
                <w:color w:val="auto"/>
              </w:rPr>
              <w:t>，评价准确</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3"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运行控制</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8.1</w:t>
            </w:r>
          </w:p>
        </w:tc>
        <w:tc>
          <w:tcPr>
            <w:tcW w:w="381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本部门应执行的运行控制文件包括：运行控制程序，固体废弃物管理规定、对相关方施加影响管理规定、节能降耗管理规定、消防安全管理制度、</w:t>
            </w:r>
            <w:r>
              <w:rPr>
                <w:rFonts w:hint="eastAsia" w:ascii="Times New Roman" w:hAnsi="Times New Roman"/>
                <w:color w:val="auto"/>
                <w:lang w:eastAsia="zh-CN"/>
              </w:rPr>
              <w:t>办公室</w:t>
            </w:r>
            <w:r>
              <w:rPr>
                <w:rFonts w:ascii="Times New Roman" w:hAnsi="Times New Roman"/>
                <w:color w:val="auto"/>
              </w:rPr>
              <w:t>安全管理制度、</w:t>
            </w:r>
            <w:r>
              <w:rPr>
                <w:rFonts w:ascii="Times New Roman" w:hAnsi="Times New Roman"/>
                <w:color w:val="auto"/>
                <w:lang w:val="en-GB"/>
              </w:rPr>
              <w:t>车辆管理规定、电脑使用管理办法</w:t>
            </w:r>
            <w:r>
              <w:rPr>
                <w:rFonts w:ascii="Times New Roman" w:hAnsi="Times New Roman"/>
                <w:color w:val="auto"/>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1、</w:t>
            </w:r>
            <w:r>
              <w:rPr>
                <w:rFonts w:hint="eastAsia" w:ascii="Times New Roman" w:hAnsi="Times New Roman"/>
                <w:color w:val="auto"/>
              </w:rPr>
              <w:t>办公</w:t>
            </w:r>
            <w:r>
              <w:rPr>
                <w:rFonts w:ascii="Times New Roman" w:hAnsi="Times New Roman"/>
                <w:color w:val="auto"/>
              </w:rPr>
              <w:t>区域：污水：不涉及污水，没有污水排放。噪声：办公现场不产生明显噪声。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固废：固体废物主要是办公产生废纸张等，配置了纸篓；办公用纸由</w:t>
            </w:r>
            <w:r>
              <w:rPr>
                <w:rFonts w:hint="eastAsia" w:ascii="Times New Roman" w:hAnsi="Times New Roman"/>
                <w:color w:val="auto"/>
                <w:lang w:eastAsia="zh-CN"/>
              </w:rPr>
              <w:t>办公室</w:t>
            </w:r>
            <w:r>
              <w:rPr>
                <w:rFonts w:ascii="Times New Roman" w:hAnsi="Times New Roman"/>
                <w:color w:val="auto"/>
              </w:rPr>
              <w:t>负责，复印、打印耗材都有</w:t>
            </w:r>
            <w:r>
              <w:rPr>
                <w:rFonts w:hint="eastAsia" w:ascii="Times New Roman" w:hAnsi="Times New Roman"/>
                <w:color w:val="auto"/>
                <w:lang w:eastAsia="zh-CN"/>
              </w:rPr>
              <w:t>办公室</w:t>
            </w:r>
            <w:r>
              <w:rPr>
                <w:rFonts w:ascii="Times New Roman" w:hAnsi="Times New Roman"/>
                <w:color w:val="auto"/>
              </w:rPr>
              <w:t>统一负责，集中处置。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2、办公过程注意节约用电，做到人走灯灭，电脑长时间不用时关机，下班前要关闭电源，防止触电。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3、办公区域禁止吸烟，现场查看办公区域环境整洁、宽敞、办公设备状态良好、无安全隐患。教育员工正确使用办公设备，现场用电基本规范，无乱拉线现象，防止火灾发生。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4、工作时间平均每天不超过8小时。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5、相关方施加影响：公司能够控制或能够施加影响的相关方有顾客等。提供了“相关方告知书”，将公司的环境/安全控制要求发放到了所有相关方（包括外包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在接单过程中充分考虑客户所涉及到的环境及安全相关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hint="eastAsia" w:ascii="Times New Roman" w:hAnsi="Times New Roman"/>
                <w:color w:val="auto"/>
                <w:lang w:val="en-US" w:eastAsia="zh-CN"/>
              </w:rPr>
              <w:t>6</w:t>
            </w:r>
            <w:r>
              <w:rPr>
                <w:rFonts w:ascii="Times New Roman" w:hAnsi="Times New Roman"/>
                <w:color w:val="auto"/>
              </w:rPr>
              <w:t>、要求遵守道路交通法规，不违章驾车，驾驶证和车辆定期年审，确保行车安全。</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bl>
    <w:p>
      <w:pPr>
        <w:pStyle w:val="2"/>
      </w:pPr>
    </w:p>
    <w:tbl>
      <w:tblPr>
        <w:tblStyle w:val="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045"/>
        <w:gridCol w:w="11346"/>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过程与活动、抽样计划</w:t>
            </w:r>
          </w:p>
        </w:tc>
        <w:tc>
          <w:tcPr>
            <w:tcW w:w="35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条款</w:t>
            </w: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受审核部门：</w:t>
            </w:r>
            <w:r>
              <w:rPr>
                <w:rFonts w:hint="eastAsia" w:ascii="Times New Roman" w:hAnsi="Times New Roman"/>
                <w:color w:val="auto"/>
              </w:rPr>
              <w:t>在建项目</w:t>
            </w:r>
            <w:r>
              <w:rPr>
                <w:rFonts w:hint="eastAsia"/>
                <w:color w:val="auto"/>
                <w:lang w:val="en-US" w:eastAsia="zh-CN"/>
              </w:rPr>
              <w:t>部</w:t>
            </w:r>
            <w:r>
              <w:rPr>
                <w:rFonts w:ascii="Times New Roman" w:hAnsi="Times New Roman"/>
                <w:color w:val="auto"/>
              </w:rPr>
              <w:t xml:space="preserve">       </w:t>
            </w:r>
            <w:r>
              <w:rPr>
                <w:rFonts w:hint="eastAsia" w:ascii="Times New Roman" w:hAnsi="Times New Roman"/>
                <w:color w:val="auto"/>
                <w:lang w:val="en-US" w:eastAsia="zh-CN"/>
              </w:rPr>
              <w:t xml:space="preserve">      </w:t>
            </w:r>
            <w:r>
              <w:rPr>
                <w:rFonts w:ascii="Times New Roman" w:hAnsi="Times New Roman"/>
                <w:color w:val="auto"/>
              </w:rPr>
              <w:t xml:space="preserve"> </w:t>
            </w:r>
            <w:r>
              <w:rPr>
                <w:rFonts w:hint="eastAsia" w:ascii="楷体" w:hAnsi="楷体" w:eastAsia="楷体"/>
                <w:color w:val="auto"/>
              </w:rPr>
              <w:t>项目经理：</w:t>
            </w:r>
            <w:r>
              <w:rPr>
                <w:rFonts w:hint="eastAsia" w:ascii="楷体" w:hAnsi="楷体" w:eastAsia="楷体"/>
                <w:szCs w:val="21"/>
              </w:rPr>
              <w:t>段盈进    陪同：安景治</w:t>
            </w:r>
          </w:p>
        </w:tc>
        <w:tc>
          <w:tcPr>
            <w:tcW w:w="32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olor w:val="auto"/>
                <w:lang w:val="en-US" w:eastAsia="zh-CN"/>
              </w:rPr>
            </w:pPr>
            <w:r>
              <w:rPr>
                <w:rFonts w:ascii="Times New Roman" w:hAnsi="Times New Roman"/>
                <w:color w:val="auto"/>
              </w:rPr>
              <w:t>审核员：吉洁</w:t>
            </w:r>
            <w:r>
              <w:rPr>
                <w:rFonts w:hint="eastAsia" w:ascii="Times New Roman" w:hAnsi="Times New Roman"/>
                <w:color w:val="auto"/>
              </w:rPr>
              <w:t>、周文廷</w:t>
            </w:r>
            <w:r>
              <w:rPr>
                <w:rFonts w:ascii="Times New Roman" w:hAnsi="Times New Roman"/>
                <w:color w:val="auto"/>
              </w:rPr>
              <w:t xml:space="preserve">             审核时间：</w:t>
            </w:r>
            <w:r>
              <w:rPr>
                <w:rFonts w:hint="eastAsia"/>
                <w:color w:val="auto"/>
                <w:lang w:val="en-US" w:eastAsia="zh-CN"/>
              </w:rPr>
              <w:t>2021.12.19</w:t>
            </w:r>
          </w:p>
        </w:tc>
        <w:tc>
          <w:tcPr>
            <w:tcW w:w="32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审核条款：</w:t>
            </w:r>
            <w:r>
              <w:rPr>
                <w:rFonts w:hint="default" w:ascii="Times New Roman" w:hAnsi="Times New Roman" w:eastAsia="宋体" w:cs="Times New Roman"/>
                <w:color w:val="auto"/>
                <w:sz w:val="21"/>
                <w:szCs w:val="21"/>
                <w:lang w:val="en-US" w:eastAsia="zh-CN"/>
              </w:rPr>
              <w:t>O6.1.2/8.1/</w:t>
            </w:r>
          </w:p>
        </w:tc>
        <w:tc>
          <w:tcPr>
            <w:tcW w:w="32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危险源辨识评价和控制措施的确定</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6.1.2</w:t>
            </w: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提供《危险源识别一览表》，按照活动、区域进行了识别，其中包括：线路老化、违规吸烟、消防设施失效、人走未断电、电线乱拉乱扯、未配置触电保护装置、各种电器漏电、各种电器防护装置失灵、人员未佩戴防护用具、设备无防护装置、设备故障、设备操作噪声排放影响听力等，评价基本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提供《重大危险源清单》，其中</w:t>
            </w:r>
            <w:r>
              <w:rPr>
                <w:rFonts w:hint="eastAsia"/>
                <w:color w:val="auto"/>
                <w:lang w:val="en-US" w:eastAsia="zh-CN"/>
              </w:rPr>
              <w:t>部门涉及</w:t>
            </w:r>
            <w:r>
              <w:rPr>
                <w:rFonts w:ascii="Times New Roman" w:hAnsi="Times New Roman"/>
                <w:color w:val="auto"/>
              </w:rPr>
              <w:t>重大危险源：</w:t>
            </w:r>
            <w:r>
              <w:rPr>
                <w:rFonts w:hint="eastAsia" w:ascii="宋体"/>
                <w:color w:val="auto"/>
                <w:sz w:val="21"/>
                <w:szCs w:val="21"/>
                <w:lang w:val="en-US" w:eastAsia="zh-CN"/>
              </w:rPr>
              <w:t>火灾事故的发生、触电、噪声伤害、机械伤害、物体打击</w:t>
            </w:r>
            <w:r>
              <w:rPr>
                <w:rFonts w:ascii="Times New Roman" w:hAnsi="Times New Roman"/>
                <w:color w:val="auto"/>
              </w:rPr>
              <w:t>，评价准确</w:t>
            </w:r>
          </w:p>
        </w:tc>
        <w:tc>
          <w:tcPr>
            <w:tcW w:w="321"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运行控制</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8.1</w:t>
            </w: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lang w:val="en-US" w:eastAsia="zh-CN"/>
              </w:rPr>
            </w:pPr>
            <w:r>
              <w:rPr>
                <w:rFonts w:hint="eastAsia"/>
                <w:color w:val="auto"/>
                <w:lang w:val="en-US" w:eastAsia="zh-CN"/>
              </w:rPr>
              <w:t>在建项目：</w:t>
            </w:r>
            <w:r>
              <w:rPr>
                <w:rFonts w:hint="eastAsia" w:ascii="楷体" w:hAnsi="楷体" w:eastAsia="楷体" w:cs="楷体"/>
                <w:szCs w:val="21"/>
              </w:rPr>
              <w:t>衡水深州康定街机房工程项目</w:t>
            </w:r>
            <w:r>
              <w:rPr>
                <w:rFonts w:hint="eastAsia"/>
                <w:color w:val="auto"/>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rFonts w:hint="eastAsia"/>
                <w:color w:val="auto"/>
                <w:lang w:val="en-US" w:eastAsia="zh-CN"/>
              </w:rPr>
              <w:t>现场运</w:t>
            </w:r>
            <w:r>
              <w:rPr>
                <w:color w:val="auto"/>
              </w:rPr>
              <w:t>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1、施工现场有：安全施工责任制度、安全施工检查制度、安全用电管理制度、安全防护用品管理制度。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2、施工方案中有有安全措施和文明施工措施；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3、工程开工报告显示：安全文明施工二次策划满足要求；特殊工种作业人员能满足施工需要。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4、提供“单位（分项）工程开工报审表”，报审项目中有特殊工种作业人员能否满足施工需要；现场具备安全文明施工条件等条款。查工程开工报审表，相关安全、环境和文明施工条件均已满足要求。有项目经理、建设单位签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lang w:val="en-US" w:eastAsia="zh-CN"/>
              </w:rPr>
            </w:pPr>
            <w:r>
              <w:rPr>
                <w:color w:val="auto"/>
              </w:rPr>
              <w:t>5、施工现</w:t>
            </w:r>
            <w:r>
              <w:rPr>
                <w:rFonts w:hint="eastAsia"/>
                <w:color w:val="auto"/>
                <w:lang w:val="en-US" w:eastAsia="zh-CN"/>
              </w:rPr>
              <w:t>场张贴安全责任书等环境与安全的公告；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eastAsia="宋体"/>
                <w:color w:val="auto"/>
                <w:lang w:eastAsia="zh-CN"/>
              </w:rPr>
            </w:pPr>
            <w:r>
              <w:rPr>
                <w:color w:val="auto"/>
              </w:rPr>
              <w:t>重大危险源控制</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rFonts w:hint="eastAsia"/>
                <w:color w:val="auto"/>
                <w:lang w:eastAsia="zh-CN"/>
              </w:rPr>
              <w:t>——</w:t>
            </w:r>
            <w:r>
              <w:rPr>
                <w:color w:val="auto"/>
              </w:rPr>
              <w:t>意外火灾控制</w:t>
            </w:r>
            <w:r>
              <w:rPr>
                <w:rFonts w:hint="eastAsia"/>
                <w:color w:val="auto"/>
              </w:rPr>
              <w:t>：</w:t>
            </w:r>
            <w:r>
              <w:rPr>
                <w:color w:val="auto"/>
              </w:rPr>
              <w:t>施工现场有严禁吸烟，禁止明火标识，配电线有保护装置；临时用电拉线规范符合要求；划分了防火责任区，按规定配置灭火器，并检验合格。施工现场废弃的易燃品的堆放要远离火源并按规定放置，并尽快清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rFonts w:hint="eastAsia"/>
                <w:color w:val="auto"/>
                <w:lang w:eastAsia="zh-CN"/>
              </w:rPr>
              <w:t>——</w:t>
            </w:r>
            <w:r>
              <w:rPr>
                <w:color w:val="auto"/>
              </w:rPr>
              <w:t>触电控制：现场没有发现私拉乱扯，超负荷用电现象；漏电保护装置齐全有效；用电设备外壳均有保护接地。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rPr>
            </w:pPr>
            <w:r>
              <w:rPr>
                <w:color w:val="auto"/>
              </w:rPr>
              <w:t>现场配电设备均有明显的标志，操作、维修由电工进行；现场电工均经过培训并有电工证，绝缘靴等劳保防护齐全；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rFonts w:hint="eastAsia"/>
                <w:color w:val="auto"/>
                <w:lang w:eastAsia="zh-CN"/>
              </w:rPr>
              <w:t>——</w:t>
            </w:r>
            <w:r>
              <w:rPr>
                <w:rFonts w:hint="eastAsia"/>
                <w:color w:val="auto"/>
              </w:rPr>
              <w:t>意外伤害</w:t>
            </w:r>
            <w:r>
              <w:rPr>
                <w:color w:val="auto"/>
              </w:rPr>
              <w:t>控制</w:t>
            </w:r>
            <w:r>
              <w:rPr>
                <w:rFonts w:hint="eastAsia"/>
                <w:color w:val="auto"/>
              </w:rPr>
              <w:t>：</w:t>
            </w:r>
            <w:r>
              <w:rPr>
                <w:color w:val="auto"/>
              </w:rPr>
              <w:t>现场所有参加施工人员要按要求佩戴劳动保护用品，现场施工人员均佩戴了安全帽。项目经理介绍，作业前对施工设备、工器具进行检查；危险作业必须设专人监护</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与项目经理沟通了解到：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在本工程施工中，严格按照国家安全制度和规定，达到“三无一杜绝”的目标，既无边坡塌方的责任事故；无重大机械设备事故、重大交通和火灾事故；无一次性直接经济损失在五万元以上的其他工程事故；杜绝因公死亡。为达到上述目标，在施工当中，要落实以下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(1)建立健全安全保证体系，完善管理制度，设立专职安全监督员。</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(2)严格执行现场安全管理制度，经常开展安全大检查活动。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(3)专职安全员经常对现场进行巡视检查，纠正安全生产中的各种隐患，发现违反操作规程的人员要立即制止，停工整改。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(4)坚持全员安全教育制度，提高施工人员的自保与互保意识，将安全生产责任制落实到各职能部门，各作业组要求责任到人。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(5)项目部设置安全保卫小组，经常组织专人巡视施工现场，主动取得附近派出所及治安联防的支持与配合。阻止闲杂人员进入施工现场。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(6)各工种人员必须经安全培训考试合格后方可上岗，不得无证上岗。严禁管理人员违章指挥，操作人员违章作业。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(7)严禁班前饮酒，进入施工现场不准嘻戏打闹，禁止从事与本职工作无关的事情。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(8)多工种作业时，必须设专人负责，统一指挥，相互配合。所有进入施工现场人员，必须按规定佩戴安全帽等个人劳动保护用品，凡不符合安全规定者，严禁上岗。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(9)开工前必须对施工队伍进行书面的安全交底，注明施工中应注意的事宜与禁止事项。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(1</w:t>
            </w:r>
            <w:r>
              <w:rPr>
                <w:rFonts w:hint="eastAsia"/>
                <w:color w:val="auto"/>
                <w:lang w:val="en-US" w:eastAsia="zh-CN"/>
              </w:rPr>
              <w:t>0</w:t>
            </w:r>
            <w:r>
              <w:rPr>
                <w:color w:val="auto"/>
              </w:rPr>
              <w:t>)各专业工种使用、操作施工机具时，严格执行本工种、本机械的安全操作规程。机械设备设专人负责检修，不得带病运转，不准超负荷作业，不准违章操作。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(1</w:t>
            </w:r>
            <w:r>
              <w:rPr>
                <w:rFonts w:hint="eastAsia"/>
                <w:color w:val="auto"/>
                <w:lang w:val="en-US" w:eastAsia="zh-CN"/>
              </w:rPr>
              <w:t>1</w:t>
            </w:r>
            <w:r>
              <w:rPr>
                <w:color w:val="auto"/>
              </w:rPr>
              <w:t>)施工车辆出入主要路口设置专职交通疏导员，统一着装，标识明显，协助疏导交通。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(1</w:t>
            </w:r>
            <w:r>
              <w:rPr>
                <w:rFonts w:hint="eastAsia"/>
                <w:color w:val="auto"/>
                <w:lang w:val="en-US" w:eastAsia="zh-CN"/>
              </w:rPr>
              <w:t>2</w:t>
            </w:r>
            <w:r>
              <w:rPr>
                <w:color w:val="auto"/>
              </w:rPr>
              <w:t>)</w:t>
            </w:r>
            <w:r>
              <w:rPr>
                <w:rFonts w:hint="eastAsia"/>
                <w:color w:val="auto"/>
                <w:lang w:val="en-US" w:eastAsia="zh-CN"/>
              </w:rPr>
              <w:t>禁止</w:t>
            </w:r>
            <w:r>
              <w:rPr>
                <w:color w:val="auto"/>
              </w:rPr>
              <w:t>夜间施工。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(1</w:t>
            </w:r>
            <w:r>
              <w:rPr>
                <w:rFonts w:hint="eastAsia"/>
                <w:color w:val="auto"/>
                <w:lang w:val="en-US" w:eastAsia="zh-CN"/>
              </w:rPr>
              <w:t>3</w:t>
            </w:r>
            <w:r>
              <w:rPr>
                <w:color w:val="auto"/>
              </w:rPr>
              <w:t>)施工现场不得存放易燃易爆等危险物品，电气线路的敷设要符合有关规定。进行明火作业及电气焊等作业时要制定可靠的安全防火措施。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(1</w:t>
            </w:r>
            <w:r>
              <w:rPr>
                <w:rFonts w:hint="eastAsia"/>
                <w:color w:val="auto"/>
                <w:lang w:val="en-US" w:eastAsia="zh-CN"/>
              </w:rPr>
              <w:t>4</w:t>
            </w:r>
            <w:r>
              <w:rPr>
                <w:color w:val="auto"/>
              </w:rPr>
              <w:t>)坚持全体人员安全教育制度，提高施工人员的自保与互保意识，将安全生产责任制落实到各职能部门，各作业组要求责任到人。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(1</w:t>
            </w:r>
            <w:r>
              <w:rPr>
                <w:rFonts w:hint="eastAsia"/>
                <w:color w:val="auto"/>
                <w:lang w:val="en-US" w:eastAsia="zh-CN"/>
              </w:rPr>
              <w:t>5</w:t>
            </w:r>
            <w:r>
              <w:rPr>
                <w:color w:val="auto"/>
              </w:rPr>
              <w:t>)施工现场建立门卫和巡逻护场制度，守卫人员佩带值勤标志。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w:t>
            </w:r>
            <w:r>
              <w:rPr>
                <w:rFonts w:hint="eastAsia"/>
                <w:color w:val="auto"/>
                <w:lang w:val="en-US" w:eastAsia="zh-CN"/>
              </w:rPr>
              <w:t>16</w:t>
            </w:r>
            <w:r>
              <w:rPr>
                <w:color w:val="auto"/>
              </w:rPr>
              <w:t>)做好成品保卫工作，严防被盗、破坏和治安灾害事故的发生。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rPr>
            </w:pPr>
            <w:r>
              <w:rPr>
                <w:color w:val="auto"/>
              </w:rPr>
              <w:t>(</w:t>
            </w:r>
            <w:r>
              <w:rPr>
                <w:rFonts w:hint="eastAsia"/>
                <w:color w:val="auto"/>
                <w:lang w:val="en-US" w:eastAsia="zh-CN"/>
              </w:rPr>
              <w:t>17</w:t>
            </w:r>
            <w:r>
              <w:rPr>
                <w:color w:val="auto"/>
              </w:rPr>
              <w:t>)加强对民工队伍的管理，掌握人员基本情况，签定治安协议。非施工人员不得住在施工现场，特殊情况要经保卫工作</w:t>
            </w:r>
            <w:r>
              <w:rPr>
                <w:rFonts w:ascii="Times New Roman" w:hAnsi="Times New Roman" w:eastAsia="宋体" w:cs="Times New Roman"/>
                <w:color w:val="auto"/>
              </w:rPr>
              <w:t>负责人批准。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18</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安全教育：提供 项目安全教育培训计划，符合要求；</w:t>
            </w:r>
            <w:r>
              <w:rPr>
                <w:rFonts w:hint="eastAsia" w:ascii="Times New Roman" w:hAnsi="Times New Roman" w:eastAsia="宋体" w:cs="Times New Roman"/>
                <w:color w:val="auto"/>
              </w:rPr>
              <w:t>查见衡水深州康定街机房工程</w:t>
            </w:r>
            <w:r>
              <w:rPr>
                <w:rFonts w:hint="eastAsia" w:ascii="Times New Roman" w:hAnsi="Times New Roman" w:eastAsia="宋体" w:cs="Times New Roman"/>
                <w:color w:val="auto"/>
                <w:lang w:val="en-US" w:eastAsia="zh-CN"/>
              </w:rPr>
              <w:t>项目</w:t>
            </w:r>
            <w:r>
              <w:rPr>
                <w:rFonts w:hint="eastAsia" w:ascii="Times New Roman" w:hAnsi="Times New Roman" w:eastAsia="宋体" w:cs="Times New Roman"/>
                <w:color w:val="auto"/>
              </w:rPr>
              <w:t>202</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年</w:t>
            </w:r>
            <w:r>
              <w:rPr>
                <w:rFonts w:hint="eastAsia" w:ascii="Times New Roman" w:hAnsi="Times New Roman" w:eastAsia="宋体" w:cs="Times New Roman"/>
                <w:color w:val="auto"/>
                <w:lang w:val="en-US" w:eastAsia="zh-CN"/>
              </w:rPr>
              <w:t>11</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20</w:t>
            </w:r>
            <w:r>
              <w:rPr>
                <w:rFonts w:hint="eastAsia" w:ascii="Times New Roman" w:hAnsi="Times New Roman" w:eastAsia="宋体" w:cs="Times New Roman"/>
                <w:color w:val="auto"/>
              </w:rPr>
              <w:t>日入场作业人员三级安全教育记录卡；有项目负责人签字；安全教育基本符合要求；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19</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原材料进场时，由项目经理和工长告知有关安全、环境的注意事项，并监督其卸货；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rPr>
            </w:pPr>
            <w:r>
              <w:rPr>
                <w:rFonts w:hint="eastAsia" w:ascii="Times New Roman" w:hAnsi="Times New Roman" w:eastAsia="宋体" w:cs="Times New Roman"/>
                <w:color w:val="auto"/>
              </w:rPr>
              <w:t>在建项目不</w:t>
            </w:r>
            <w:r>
              <w:rPr>
                <w:rFonts w:hint="eastAsia"/>
                <w:color w:val="auto"/>
              </w:rPr>
              <w:t>涉及危险化学品；</w:t>
            </w:r>
            <w:r>
              <w:rPr>
                <w:color w:val="auto"/>
              </w:rPr>
              <w:t>现场施工对地表植被基本不造成破坏</w:t>
            </w:r>
            <w:r>
              <w:rPr>
                <w:rFonts w:hint="eastAsia"/>
                <w:color w:val="auto"/>
              </w:rPr>
              <w:t>。</w:t>
            </w:r>
          </w:p>
        </w:tc>
        <w:tc>
          <w:tcPr>
            <w:tcW w:w="321"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pStyle w:val="7"/>
              <w:rPr>
                <w:rFonts w:ascii="Times New Roman" w:hAnsi="Times New Roman"/>
                <w:color w:val="auto"/>
              </w:rPr>
            </w:pPr>
          </w:p>
          <w:p>
            <w:pPr>
              <w:rPr>
                <w:rFonts w:ascii="Times New Roman" w:hAnsi="Times New Roman"/>
                <w:color w:val="auto"/>
              </w:rPr>
            </w:pPr>
          </w:p>
          <w:p>
            <w:pPr>
              <w:pStyle w:val="7"/>
              <w:rPr>
                <w:rFonts w:ascii="Times New Roman" w:hAnsi="Times New Roman"/>
                <w:color w:val="auto"/>
              </w:rPr>
            </w:pPr>
          </w:p>
          <w:p>
            <w:pPr>
              <w:rPr>
                <w:rFonts w:ascii="Times New Roman" w:hAnsi="Times New Roman"/>
                <w:color w:val="auto"/>
              </w:rPr>
            </w:pPr>
          </w:p>
          <w:p>
            <w:pPr>
              <w:pStyle w:val="7"/>
              <w:rPr>
                <w:rFonts w:ascii="Times New Roman" w:hAnsi="Times New Roman"/>
                <w:color w:val="auto"/>
              </w:rPr>
            </w:pPr>
          </w:p>
          <w:p>
            <w:pPr>
              <w:rPr>
                <w:rFonts w:ascii="Times New Roman" w:hAnsi="Times New Roman"/>
                <w:color w:val="auto"/>
              </w:rPr>
            </w:pPr>
          </w:p>
          <w:p>
            <w:pPr>
              <w:pStyle w:val="7"/>
              <w:rPr>
                <w:rFonts w:ascii="Times New Roman" w:hAnsi="Times New Roman"/>
                <w:color w:val="auto"/>
              </w:rPr>
            </w:pPr>
          </w:p>
          <w:p>
            <w:pPr>
              <w:rPr>
                <w:rFonts w:ascii="Times New Roman" w:hAnsi="Times New Roman"/>
                <w:color w:val="auto"/>
              </w:rPr>
            </w:pPr>
          </w:p>
          <w:p>
            <w:pPr>
              <w:pStyle w:val="7"/>
              <w:rPr>
                <w:rFonts w:ascii="Times New Roman" w:hAnsi="Times New Roman"/>
                <w:color w:val="auto"/>
              </w:rPr>
            </w:pPr>
          </w:p>
          <w:p>
            <w:pPr>
              <w:rPr>
                <w:rFonts w:ascii="Times New Roman" w:hAnsi="Times New Roman"/>
                <w:color w:val="auto"/>
              </w:rPr>
            </w:pPr>
          </w:p>
          <w:p>
            <w:pPr>
              <w:pStyle w:val="7"/>
              <w:rPr>
                <w:rFonts w:ascii="Times New Roman" w:hAnsi="Times New Roman"/>
                <w:color w:val="auto"/>
              </w:rPr>
            </w:pPr>
          </w:p>
          <w:p>
            <w:pPr>
              <w:rPr>
                <w:rFonts w:ascii="Times New Roman" w:hAnsi="Times New Roman"/>
                <w:color w:val="auto"/>
              </w:rPr>
            </w:pPr>
          </w:p>
          <w:p>
            <w:pPr>
              <w:pStyle w:val="7"/>
              <w:rPr>
                <w:rFonts w:ascii="Times New Roman" w:hAnsi="Times New Roman"/>
                <w:color w:val="auto"/>
              </w:rPr>
            </w:pPr>
          </w:p>
          <w:p>
            <w:pPr>
              <w:rPr>
                <w:rFonts w:ascii="Times New Roman" w:hAnsi="Times New Roman"/>
                <w:color w:val="auto"/>
              </w:rPr>
            </w:pPr>
          </w:p>
          <w:p>
            <w:pPr>
              <w:pStyle w:val="7"/>
              <w:rPr>
                <w:rFonts w:ascii="Times New Roman" w:hAnsi="Times New Roman"/>
                <w:color w:val="auto"/>
              </w:rPr>
            </w:pPr>
          </w:p>
          <w:p>
            <w:pPr>
              <w:rPr>
                <w:rFonts w:ascii="Times New Roman" w:hAnsi="Times New Roman"/>
                <w:color w:val="auto"/>
              </w:rPr>
            </w:pPr>
          </w:p>
          <w:p>
            <w:pPr>
              <w:pStyle w:val="7"/>
              <w:rPr>
                <w:rFonts w:ascii="Times New Roman" w:hAnsi="Times New Roman"/>
                <w:color w:val="auto"/>
              </w:rPr>
            </w:pPr>
          </w:p>
          <w:p>
            <w:pPr>
              <w:rPr>
                <w:rFonts w:ascii="Times New Roman" w:hAnsi="Times New Roman"/>
                <w:color w:val="auto"/>
              </w:rPr>
            </w:pPr>
          </w:p>
          <w:p>
            <w:pPr>
              <w:pStyle w:val="7"/>
              <w:rPr>
                <w:rFonts w:ascii="Times New Roman" w:hAnsi="Times New Roman"/>
                <w:color w:val="auto"/>
              </w:rPr>
            </w:pPr>
          </w:p>
          <w:p>
            <w:pPr>
              <w:rPr>
                <w:rFonts w:ascii="Times New Roman" w:hAnsi="Times New Roman"/>
                <w:color w:val="auto"/>
              </w:rPr>
            </w:pPr>
          </w:p>
          <w:p>
            <w:pPr>
              <w:pStyle w:val="7"/>
              <w:rPr>
                <w:rFonts w:ascii="Times New Roman" w:hAnsi="Times New Roman"/>
                <w:color w:val="auto"/>
              </w:rPr>
            </w:pPr>
          </w:p>
          <w:p>
            <w:pPr>
              <w:rPr>
                <w:rFonts w:ascii="Times New Roman" w:hAnsi="Times New Roman"/>
                <w:color w:val="auto"/>
              </w:rPr>
            </w:pPr>
          </w:p>
          <w:p>
            <w:pPr>
              <w:pStyle w:val="7"/>
              <w:rPr>
                <w:rFonts w:ascii="Times New Roman" w:hAnsi="Times New Roman"/>
                <w:color w:val="auto"/>
              </w:rPr>
            </w:pPr>
          </w:p>
          <w:p>
            <w:pPr>
              <w:rPr>
                <w:rFonts w:ascii="Times New Roman" w:hAnsi="Times New Roman"/>
                <w:color w:val="auto"/>
              </w:rPr>
            </w:pPr>
          </w:p>
          <w:p>
            <w:pPr>
              <w:pStyle w:val="7"/>
              <w:rPr>
                <w:rFonts w:ascii="Times New Roman" w:hAnsi="Times New Roman"/>
                <w:color w:val="auto"/>
              </w:rPr>
            </w:pPr>
          </w:p>
          <w:p>
            <w:pPr>
              <w:rPr>
                <w:rFonts w:ascii="Times New Roman" w:hAnsi="Times New Roman"/>
                <w:color w:val="auto"/>
              </w:rPr>
            </w:pPr>
          </w:p>
          <w:p>
            <w:pPr>
              <w:pStyle w:val="7"/>
              <w:rPr>
                <w:rFonts w:ascii="Times New Roman" w:hAnsi="Times New Roman"/>
                <w:color w:val="auto"/>
              </w:rPr>
            </w:pPr>
          </w:p>
          <w:p>
            <w:pPr>
              <w:rPr>
                <w:rFonts w:ascii="Times New Roman" w:hAnsi="Times New Roman"/>
                <w:color w:val="auto"/>
              </w:rPr>
            </w:pPr>
          </w:p>
          <w:p>
            <w:pPr>
              <w:pStyle w:val="7"/>
              <w:rPr>
                <w:rFonts w:ascii="Times New Roman" w:hAnsi="Times New Roman"/>
                <w:color w:val="auto"/>
              </w:rPr>
            </w:pPr>
          </w:p>
          <w:p>
            <w:pPr>
              <w:rPr>
                <w:rFonts w:ascii="Times New Roman" w:hAnsi="Times New Roman"/>
                <w:color w:val="auto"/>
              </w:rPr>
            </w:pPr>
          </w:p>
          <w:p>
            <w:pPr>
              <w:pStyle w:val="7"/>
              <w:rPr>
                <w:rFonts w:ascii="Times New Roman" w:hAnsi="Times New Roman"/>
                <w:color w:val="auto"/>
              </w:rPr>
            </w:pPr>
          </w:p>
          <w:p>
            <w:pPr>
              <w:rPr>
                <w:rFonts w:ascii="Times New Roman" w:hAnsi="Times New Roman"/>
                <w:color w:val="auto"/>
              </w:rPr>
            </w:pPr>
          </w:p>
          <w:p>
            <w:pPr>
              <w:pStyle w:val="7"/>
              <w:rPr>
                <w:rFonts w:ascii="Times New Roman" w:hAnsi="Times New Roman"/>
                <w:color w:val="auto"/>
              </w:rPr>
            </w:pPr>
          </w:p>
          <w:p>
            <w:pPr>
              <w:rPr>
                <w:rFonts w:ascii="Times New Roman" w:hAnsi="Times New Roman"/>
                <w:color w:val="auto"/>
              </w:rPr>
            </w:pPr>
          </w:p>
          <w:p>
            <w:pPr>
              <w:pStyle w:val="7"/>
              <w:rPr>
                <w:rFonts w:ascii="Times New Roman" w:hAnsi="Times New Roman"/>
                <w:color w:val="auto"/>
              </w:rPr>
            </w:pPr>
          </w:p>
          <w:p>
            <w:pPr>
              <w:rPr>
                <w:rFonts w:ascii="Times New Roman" w:hAnsi="Times New Roman"/>
                <w:color w:val="auto"/>
              </w:rPr>
            </w:pPr>
          </w:p>
          <w:p>
            <w:pPr>
              <w:pStyle w:val="7"/>
              <w:rPr>
                <w:rFonts w:ascii="Times New Roman" w:hAnsi="Times New Roman"/>
                <w:color w:val="auto"/>
              </w:rPr>
            </w:pPr>
          </w:p>
          <w:p>
            <w:pPr>
              <w:rPr>
                <w:rFonts w:ascii="Times New Roman" w:hAnsi="Times New Roman"/>
                <w:color w:val="auto"/>
              </w:rPr>
            </w:pPr>
          </w:p>
          <w:p>
            <w:pPr>
              <w:pStyle w:val="7"/>
              <w:rPr>
                <w:rFonts w:ascii="Times New Roman" w:hAnsi="Times New Roman"/>
                <w:color w:val="auto"/>
              </w:rPr>
            </w:pPr>
          </w:p>
          <w:p>
            <w:pPr>
              <w:rPr>
                <w:rFonts w:ascii="Times New Roman" w:hAnsi="Times New Roman"/>
                <w:color w:val="auto"/>
              </w:rPr>
            </w:pPr>
          </w:p>
          <w:p>
            <w:pPr>
              <w:pStyle w:val="7"/>
              <w:rPr>
                <w:rFonts w:ascii="Times New Roman" w:hAnsi="Times New Roman"/>
                <w:color w:val="auto"/>
              </w:rPr>
            </w:pPr>
          </w:p>
          <w:p>
            <w:pPr>
              <w:rPr>
                <w:rFonts w:ascii="Times New Roman" w:hAnsi="Times New Roman"/>
                <w:color w:val="auto"/>
              </w:rPr>
            </w:pPr>
          </w:p>
          <w:p>
            <w:pPr>
              <w:pStyle w:val="7"/>
              <w:rPr>
                <w:rFonts w:ascii="Times New Roman" w:hAnsi="Times New Roman"/>
                <w:color w:val="auto"/>
              </w:rPr>
            </w:pPr>
          </w:p>
          <w:p>
            <w:pPr>
              <w:rPr>
                <w:rFonts w:ascii="Times New Roman" w:hAnsi="Times New Roman"/>
                <w:color w:val="auto"/>
              </w:rPr>
            </w:pPr>
          </w:p>
          <w:p>
            <w:pPr>
              <w:pStyle w:val="7"/>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bl>
    <w:p>
      <w:pPr>
        <w:pStyle w:val="2"/>
      </w:pPr>
    </w:p>
    <w:tbl>
      <w:tblPr>
        <w:tblStyle w:val="8"/>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1036"/>
        <w:gridCol w:w="11362"/>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过程与活动、抽样计划</w:t>
            </w:r>
          </w:p>
        </w:tc>
        <w:tc>
          <w:tcPr>
            <w:tcW w:w="34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条款</w:t>
            </w:r>
          </w:p>
        </w:tc>
        <w:tc>
          <w:tcPr>
            <w:tcW w:w="381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color w:val="auto"/>
              </w:rPr>
            </w:pPr>
            <w:r>
              <w:rPr>
                <w:rFonts w:ascii="Times New Roman" w:hAnsi="Times New Roman" w:cs="Times New Roman"/>
                <w:color w:val="auto"/>
              </w:rPr>
              <w:t>受审核部门：</w:t>
            </w:r>
            <w:r>
              <w:rPr>
                <w:rFonts w:hint="eastAsia" w:cs="Times New Roman"/>
                <w:color w:val="auto"/>
                <w:sz w:val="21"/>
                <w:szCs w:val="21"/>
                <w:lang w:val="en-US" w:eastAsia="zh-CN"/>
              </w:rPr>
              <w:t>办公室/财务部</w:t>
            </w:r>
            <w:r>
              <w:rPr>
                <w:rFonts w:hint="eastAsia" w:ascii="Times New Roman" w:hAnsi="Times New Roman" w:cs="Times New Roman"/>
                <w:color w:val="auto"/>
              </w:rPr>
              <w:t xml:space="preserve"> </w:t>
            </w:r>
            <w:r>
              <w:rPr>
                <w:rFonts w:ascii="Times New Roman" w:hAnsi="Times New Roman" w:cs="Times New Roman"/>
                <w:color w:val="auto"/>
              </w:rPr>
              <w:t xml:space="preserve">   </w:t>
            </w:r>
            <w:r>
              <w:rPr>
                <w:rFonts w:hint="eastAsia" w:ascii="Times New Roman" w:hAnsi="Times New Roman" w:cs="Times New Roman"/>
                <w:color w:val="auto"/>
                <w:lang w:val="en-US" w:eastAsia="zh-CN"/>
              </w:rPr>
              <w:t xml:space="preserve">             </w:t>
            </w:r>
            <w:r>
              <w:rPr>
                <w:rFonts w:ascii="Times New Roman" w:hAnsi="Times New Roman" w:cs="Times New Roman"/>
                <w:color w:val="auto"/>
              </w:rPr>
              <w:t>主管领导：</w:t>
            </w:r>
            <w:r>
              <w:rPr>
                <w:rFonts w:hint="eastAsia" w:ascii="楷体" w:hAnsi="楷体" w:eastAsia="楷体"/>
                <w:szCs w:val="21"/>
              </w:rPr>
              <w:t>安景治</w:t>
            </w:r>
            <w:r>
              <w:rPr>
                <w:rFonts w:hint="eastAsia" w:ascii="楷体" w:hAnsi="楷体" w:eastAsia="楷体"/>
                <w:szCs w:val="21"/>
                <w:lang w:val="en-US" w:eastAsia="zh-CN"/>
              </w:rPr>
              <w:t>/李婷婷</w:t>
            </w:r>
            <w:r>
              <w:rPr>
                <w:rFonts w:hint="eastAsia" w:ascii="楷体" w:hAnsi="楷体" w:eastAsia="楷体"/>
                <w:szCs w:val="21"/>
              </w:rPr>
              <w:t xml:space="preserve">          陪同人员：</w:t>
            </w:r>
            <w:r>
              <w:rPr>
                <w:rFonts w:hint="eastAsia" w:ascii="楷体" w:hAnsi="楷体" w:eastAsia="楷体"/>
                <w:szCs w:val="21"/>
                <w:lang w:val="en-US" w:eastAsia="zh-CN"/>
              </w:rPr>
              <w:t>刘腾</w:t>
            </w:r>
          </w:p>
        </w:tc>
        <w:tc>
          <w:tcPr>
            <w:tcW w:w="31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c>
          <w:tcPr>
            <w:tcW w:w="34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c>
          <w:tcPr>
            <w:tcW w:w="381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s="Times New Roman"/>
                <w:color w:val="auto"/>
              </w:rPr>
            </w:pPr>
            <w:r>
              <w:rPr>
                <w:rFonts w:ascii="Times New Roman" w:hAnsi="Times New Roman" w:cs="Times New Roman"/>
                <w:color w:val="auto"/>
              </w:rPr>
              <w:t xml:space="preserve">审核员：吉洁  </w:t>
            </w:r>
            <w:r>
              <w:rPr>
                <w:rFonts w:hint="eastAsia" w:ascii="Times New Roman" w:hAnsi="Times New Roman" w:cs="Times New Roman"/>
                <w:color w:val="auto"/>
                <w:lang w:val="en-US" w:eastAsia="zh-CN"/>
              </w:rPr>
              <w:t xml:space="preserve">周文廷                </w:t>
            </w:r>
            <w:r>
              <w:rPr>
                <w:rFonts w:ascii="Times New Roman" w:hAnsi="Times New Roman" w:cs="Times New Roman"/>
                <w:color w:val="auto"/>
              </w:rPr>
              <w:t xml:space="preserve">      审核时间：202</w:t>
            </w:r>
            <w:r>
              <w:rPr>
                <w:rFonts w:hint="eastAsia" w:ascii="Times New Roman" w:hAnsi="Times New Roman" w:cs="Times New Roman"/>
                <w:color w:val="auto"/>
                <w:lang w:val="en-US" w:eastAsia="zh-CN"/>
              </w:rPr>
              <w:t>1</w:t>
            </w:r>
            <w:r>
              <w:rPr>
                <w:rFonts w:ascii="Times New Roman" w:hAnsi="Times New Roman" w:cs="Times New Roman"/>
                <w:color w:val="auto"/>
              </w:rPr>
              <w:t>年</w:t>
            </w:r>
            <w:r>
              <w:rPr>
                <w:rFonts w:hint="eastAsia" w:ascii="Times New Roman" w:hAnsi="Times New Roman" w:cs="Times New Roman"/>
                <w:color w:val="auto"/>
                <w:lang w:val="en-US" w:eastAsia="zh-CN"/>
              </w:rPr>
              <w:t>1</w:t>
            </w:r>
            <w:r>
              <w:rPr>
                <w:rFonts w:hint="eastAsia" w:cs="Times New Roman"/>
                <w:color w:val="auto"/>
                <w:lang w:val="en-US" w:eastAsia="zh-CN"/>
              </w:rPr>
              <w:t>2</w:t>
            </w:r>
            <w:r>
              <w:rPr>
                <w:rFonts w:ascii="Times New Roman" w:hAnsi="Times New Roman" w:cs="Times New Roman"/>
                <w:color w:val="auto"/>
              </w:rPr>
              <w:t>月</w:t>
            </w:r>
            <w:r>
              <w:rPr>
                <w:rFonts w:hint="eastAsia" w:cs="Times New Roman"/>
                <w:color w:val="auto"/>
                <w:lang w:val="en-US" w:eastAsia="zh-CN"/>
              </w:rPr>
              <w:t>20</w:t>
            </w:r>
            <w:r>
              <w:rPr>
                <w:rFonts w:ascii="Times New Roman" w:hAnsi="Times New Roman" w:cs="Times New Roman"/>
                <w:color w:val="auto"/>
              </w:rPr>
              <w:t>日</w:t>
            </w:r>
          </w:p>
        </w:tc>
        <w:tc>
          <w:tcPr>
            <w:tcW w:w="31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c>
          <w:tcPr>
            <w:tcW w:w="34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c>
          <w:tcPr>
            <w:tcW w:w="381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lang w:val="en-US" w:eastAsia="zh-CN"/>
              </w:rPr>
            </w:pPr>
            <w:r>
              <w:rPr>
                <w:rFonts w:ascii="Times New Roman" w:hAnsi="Times New Roman" w:cs="Times New Roman"/>
                <w:color w:val="auto"/>
              </w:rPr>
              <w:t>审核条款：</w:t>
            </w:r>
            <w:r>
              <w:rPr>
                <w:rFonts w:hint="eastAsia" w:ascii="Times New Roman" w:hAnsi="Times New Roman" w:cs="Times New Roman"/>
                <w:bCs/>
                <w:sz w:val="21"/>
                <w:szCs w:val="21"/>
                <w:lang w:val="en-US" w:eastAsia="zh-CN"/>
              </w:rPr>
              <w:t>O</w:t>
            </w:r>
            <w:r>
              <w:rPr>
                <w:rFonts w:ascii="Times New Roman" w:hAnsi="Times New Roman" w:cs="Times New Roman"/>
                <w:bCs/>
                <w:sz w:val="21"/>
                <w:szCs w:val="21"/>
              </w:rPr>
              <w:t>6.1.3/9.1/</w:t>
            </w:r>
            <w:r>
              <w:rPr>
                <w:rFonts w:hint="eastAsia" w:cs="Times New Roman"/>
                <w:bCs/>
                <w:sz w:val="21"/>
                <w:szCs w:val="21"/>
                <w:lang w:eastAsia="zh-CN"/>
              </w:rPr>
              <w:t>；</w:t>
            </w:r>
            <w:r>
              <w:rPr>
                <w:rFonts w:hint="eastAsia" w:cs="Times New Roman"/>
                <w:bCs/>
                <w:sz w:val="21"/>
                <w:szCs w:val="21"/>
                <w:lang w:val="en-US" w:eastAsia="zh-CN"/>
              </w:rPr>
              <w:t>EO</w:t>
            </w:r>
            <w:r>
              <w:rPr>
                <w:rFonts w:ascii="Times New Roman" w:hAnsi="Times New Roman" w:cs="Times New Roman"/>
                <w:bCs/>
                <w:sz w:val="21"/>
                <w:szCs w:val="21"/>
              </w:rPr>
              <w:t>6.1.2/</w:t>
            </w:r>
            <w:r>
              <w:rPr>
                <w:rFonts w:hint="eastAsia" w:cs="Times New Roman"/>
                <w:bCs/>
                <w:sz w:val="21"/>
                <w:szCs w:val="21"/>
                <w:lang w:val="en-US" w:eastAsia="zh-CN"/>
              </w:rPr>
              <w:t>8.1</w:t>
            </w:r>
          </w:p>
        </w:tc>
        <w:tc>
          <w:tcPr>
            <w:tcW w:w="31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hint="eastAsia"/>
                <w:color w:val="auto"/>
                <w:lang w:val="en-US" w:eastAsia="zh-CN"/>
              </w:rPr>
              <w:t>环境因素、</w:t>
            </w:r>
            <w:r>
              <w:rPr>
                <w:rFonts w:ascii="Times New Roman" w:hAnsi="Times New Roman"/>
                <w:color w:val="auto"/>
              </w:rPr>
              <w:t>危险源识别</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6.1.2</w:t>
            </w:r>
          </w:p>
        </w:tc>
        <w:tc>
          <w:tcPr>
            <w:tcW w:w="38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提供《环境因素识别一览表》，其中包括办公区、施工现场等，包括固废排放、火灾的发生、原材料损耗、能源的消耗、</w:t>
            </w:r>
            <w:r>
              <w:rPr>
                <w:rFonts w:hint="eastAsia"/>
                <w:color w:val="auto"/>
                <w:lang w:val="en-US" w:eastAsia="zh-CN"/>
              </w:rPr>
              <w:t>粉尘</w:t>
            </w:r>
            <w:r>
              <w:rPr>
                <w:rFonts w:ascii="Times New Roman" w:hAnsi="Times New Roman"/>
                <w:color w:val="auto"/>
              </w:rPr>
              <w:t>排放、噪声排放等。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可以提供《重要环境因素清单》，其中</w:t>
            </w:r>
            <w:r>
              <w:rPr>
                <w:rFonts w:hint="eastAsia"/>
                <w:color w:val="auto"/>
                <w:lang w:val="en-US" w:eastAsia="zh-CN"/>
              </w:rPr>
              <w:t>部门涉及</w:t>
            </w:r>
            <w:r>
              <w:rPr>
                <w:rFonts w:ascii="Times New Roman" w:hAnsi="Times New Roman"/>
                <w:color w:val="auto"/>
              </w:rPr>
              <w:t>重要环境因素：固体废弃物排放，评价准确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提供《危险源识别一览表》，按照活动、区域进行了识别，其中包括：线路老化、违规吸烟、消防设施失效、人走未断电、电线乱拉乱扯、未配置触电保护装置、各种电器漏电、各种电器防护装置失灵、人员未佩戴防护用具、设备无防护装置、设备故障、设备操作噪声排放影响听力等，评价基本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提供《重大危险源清单》，其中</w:t>
            </w:r>
            <w:r>
              <w:rPr>
                <w:rFonts w:hint="eastAsia"/>
                <w:color w:val="auto"/>
                <w:lang w:val="en-US" w:eastAsia="zh-CN"/>
              </w:rPr>
              <w:t>部门涉及</w:t>
            </w:r>
            <w:r>
              <w:rPr>
                <w:rFonts w:ascii="Times New Roman" w:hAnsi="Times New Roman"/>
                <w:color w:val="auto"/>
              </w:rPr>
              <w:t>重大危险源：</w:t>
            </w:r>
            <w:r>
              <w:rPr>
                <w:rFonts w:hint="eastAsia" w:ascii="宋体"/>
                <w:color w:val="auto"/>
                <w:sz w:val="21"/>
                <w:szCs w:val="21"/>
                <w:lang w:val="en-US" w:eastAsia="zh-CN"/>
              </w:rPr>
              <w:t>火灾事故的发生、触电</w:t>
            </w:r>
            <w:r>
              <w:rPr>
                <w:rFonts w:ascii="Times New Roman" w:hAnsi="Times New Roman"/>
                <w:color w:val="auto"/>
              </w:rPr>
              <w:t>，评价准确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评价人：</w:t>
            </w:r>
            <w:r>
              <w:rPr>
                <w:rFonts w:hint="eastAsia"/>
                <w:color w:val="auto"/>
                <w:lang w:val="en-US" w:eastAsia="zh-CN"/>
              </w:rPr>
              <w:t xml:space="preserve">安景治等  </w:t>
            </w:r>
            <w:r>
              <w:rPr>
                <w:rFonts w:ascii="Times New Roman" w:hAnsi="Times New Roman"/>
                <w:color w:val="auto"/>
              </w:rPr>
              <w:t>日期：20</w:t>
            </w:r>
            <w:r>
              <w:rPr>
                <w:rFonts w:hint="eastAsia" w:ascii="Times New Roman" w:hAnsi="Times New Roman"/>
                <w:color w:val="auto"/>
                <w:lang w:val="en-US" w:eastAsia="zh-CN"/>
              </w:rPr>
              <w:t>2</w:t>
            </w:r>
            <w:r>
              <w:rPr>
                <w:rFonts w:hint="eastAsia"/>
                <w:color w:val="auto"/>
                <w:lang w:val="en-US" w:eastAsia="zh-CN"/>
              </w:rPr>
              <w:t>1</w:t>
            </w:r>
            <w:r>
              <w:rPr>
                <w:rFonts w:ascii="Times New Roman" w:hAnsi="Times New Roman"/>
                <w:color w:val="auto"/>
              </w:rPr>
              <w:t>年</w:t>
            </w:r>
            <w:r>
              <w:rPr>
                <w:rFonts w:hint="eastAsia"/>
                <w:color w:val="auto"/>
                <w:lang w:val="en-US" w:eastAsia="zh-CN"/>
              </w:rPr>
              <w:t>1</w:t>
            </w:r>
            <w:r>
              <w:rPr>
                <w:rFonts w:ascii="Times New Roman" w:hAnsi="Times New Roman"/>
                <w:color w:val="auto"/>
              </w:rPr>
              <w:t>月</w:t>
            </w:r>
            <w:r>
              <w:rPr>
                <w:rFonts w:hint="eastAsia"/>
                <w:color w:val="auto"/>
                <w:lang w:val="en-US" w:eastAsia="zh-CN"/>
              </w:rPr>
              <w:t>6</w:t>
            </w:r>
            <w:r>
              <w:rPr>
                <w:rFonts w:ascii="Times New Roman" w:hAnsi="Times New Roman"/>
                <w:color w:val="auto"/>
              </w:rPr>
              <w:t>日</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法律法规及其他要求</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6.1.3</w:t>
            </w:r>
          </w:p>
        </w:tc>
        <w:tc>
          <w:tcPr>
            <w:tcW w:w="381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编制了《合规义务管理控制程序》，规定法律、法规及其他要求的范围、获取方法、确认及分发。</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hint="eastAsia" w:ascii="Times New Roman" w:hAnsi="Times New Roman"/>
                <w:color w:val="auto"/>
                <w:lang w:eastAsia="zh-CN"/>
              </w:rPr>
              <w:t>办公室</w:t>
            </w:r>
            <w:r>
              <w:rPr>
                <w:rFonts w:ascii="Times New Roman" w:hAnsi="Times New Roman"/>
                <w:color w:val="auto"/>
              </w:rPr>
              <w:t>负责适用的产品和质量/环境/安全方面的法律法规的识别、获取和更新，并评价其适用性；提供公司适用的法律法规及要求清单：中华人民共和国劳动法、中华人民共和国劳动合同法、</w:t>
            </w:r>
            <w:r>
              <w:rPr>
                <w:rFonts w:hint="eastAsia" w:ascii="Times New Roman" w:hAnsi="Times New Roman"/>
                <w:color w:val="auto"/>
                <w:lang w:val="en-US" w:eastAsia="zh-CN"/>
              </w:rPr>
              <w:t>民法典</w:t>
            </w:r>
            <w:r>
              <w:rPr>
                <w:rFonts w:ascii="Times New Roman" w:hAnsi="Times New Roman"/>
                <w:color w:val="auto"/>
              </w:rPr>
              <w:t>、环境保护法、消防法、固体废弃物环境防治法、工伤保险条例、劳动保护用品管理规定等。法律法规及其他要求在</w:t>
            </w:r>
            <w:r>
              <w:rPr>
                <w:rFonts w:hint="eastAsia" w:ascii="Times New Roman" w:hAnsi="Times New Roman"/>
                <w:color w:val="auto"/>
                <w:lang w:eastAsia="zh-CN"/>
              </w:rPr>
              <w:t>办公室</w:t>
            </w:r>
            <w:r>
              <w:rPr>
                <w:rFonts w:ascii="Times New Roman" w:hAnsi="Times New Roman"/>
                <w:color w:val="auto"/>
              </w:rPr>
              <w:t>存档一份，并已电子版的形式发到各部门电脑上。定期在网上查看法规的更新情况，目前均为最新版本。满足体系运行需要。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明确了法律法规及其他要求对公司环境因素、危险源的应用，明确了相应的适用条款。</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运行控制</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8.1</w:t>
            </w:r>
          </w:p>
        </w:tc>
        <w:tc>
          <w:tcPr>
            <w:tcW w:w="3818"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同部门负责人交谈</w:t>
            </w:r>
            <w:r>
              <w:rPr>
                <w:rFonts w:hint="eastAsia" w:ascii="Times New Roman" w:hAnsi="Times New Roman"/>
                <w:color w:val="auto"/>
                <w:lang w:eastAsia="zh-CN"/>
              </w:rPr>
              <w:t>办公室</w:t>
            </w:r>
            <w:r>
              <w:rPr>
                <w:rFonts w:ascii="Times New Roman" w:hAnsi="Times New Roman"/>
                <w:color w:val="auto"/>
              </w:rPr>
              <w:t>部执行公司《环境因素识别与评价管理程序》、《危险源辨识与风险评价管理程序》、《废水、废气、噪声及废渣管理程序》、《节约能源资源管理程序》《应急准备和响应管理程序》等程序和准则，开展环境、安全运行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查部门环境运行控制（水/ 气/ 声/ 渣/ 节能）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公司办公区域，公司配备饮水机，饮用桶装纯净水，公司办公区内有多种绿植，保持环境卫生清洁，保持职工心情愉悦，保证员工健康；</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日常办公不产生污水，</w:t>
            </w:r>
            <w:r>
              <w:rPr>
                <w:rFonts w:hint="eastAsia" w:ascii="Times New Roman" w:hAnsi="Times New Roman"/>
                <w:color w:val="auto"/>
                <w:lang w:eastAsia="zh-CN"/>
              </w:rPr>
              <w:t>办公室</w:t>
            </w:r>
            <w:r>
              <w:rPr>
                <w:rFonts w:ascii="Times New Roman" w:hAnsi="Times New Roman"/>
                <w:color w:val="auto"/>
              </w:rPr>
              <w:t>配有卫生间；生活污水排入市政管网，无土壤污染现象；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日常注重水电的节约，有节约用电和水的意识，没有发现常明灯常流水，以及跑、冒、滴、漏现象，提倡无纸化办公；夏日开窗通风，减少使用空调；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办公用纸双面使用；废纸、笔芯等工作垃圾，置于可回收垃圾筒，倾倒于物业设置的垃圾箱，由其清运、回收处理；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对于硒鼓、墨盒等固体废物，置于不可回收垃圾筒，由销售公司统一回收处理。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新员工入职与公司签订劳动合同，并对新员工进行三级安全教育培训。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企业为员工缴纳了社保，社保种类：养老、失业、医保（普通参保、医疗救助）、工伤等；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公司复工以来注重新冠肺炎疫情的防控，配有测温枪，公司配有防护口罩。</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查安全用电控制：公司用电线路定期由专人进行检修；定期组织触电应急预案知识培训和紧急事件的演练；查见办公区域的电气设备、照明器具、电源插座、配电箱等配备齐全，保护良好，接电可靠，漏电开关等正常，无潜在触电现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olor w:val="auto"/>
              </w:rPr>
            </w:pPr>
            <w:r>
              <w:rPr>
                <w:rFonts w:ascii="Times New Roman" w:hAnsi="Times New Roman"/>
                <w:color w:val="auto"/>
              </w:rPr>
              <w:t>查交通安全控制：公司的车辆均有上路年检的通行证、行驶证，司机有驾驶证；定期对外出人员进行交通安全教育培训，禁止酒驾、无证驾驶、疲劳驾驶。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olor w:val="auto"/>
                <w:lang w:val="en-US" w:eastAsia="zh-CN"/>
              </w:rPr>
            </w:pPr>
            <w:r>
              <w:rPr>
                <w:rFonts w:hint="eastAsia" w:ascii="Times New Roman" w:hAnsi="Times New Roman"/>
                <w:color w:val="auto"/>
                <w:lang w:val="en-US" w:eastAsia="zh-CN"/>
              </w:rPr>
              <w:t>办公室配置有固废分类</w:t>
            </w:r>
            <w:r>
              <w:rPr>
                <w:rFonts w:hint="eastAsia"/>
                <w:color w:val="auto"/>
                <w:lang w:val="en-US" w:eastAsia="zh-CN"/>
              </w:rPr>
              <w:t>垃圾桶</w:t>
            </w:r>
            <w:r>
              <w:rPr>
                <w:rFonts w:hint="eastAsia" w:ascii="Times New Roman" w:hAnsi="Times New Roman"/>
                <w:color w:val="auto"/>
                <w:lang w:val="en-US" w:eastAsia="zh-CN"/>
              </w:rPr>
              <w:t>，</w:t>
            </w:r>
            <w:r>
              <w:rPr>
                <w:rFonts w:hint="eastAsia"/>
                <w:color w:val="auto"/>
                <w:lang w:val="en-US" w:eastAsia="zh-CN"/>
              </w:rPr>
              <w:t>放置</w:t>
            </w:r>
            <w:r>
              <w:rPr>
                <w:rFonts w:hint="eastAsia" w:ascii="Times New Roman" w:hAnsi="Times New Roman"/>
                <w:color w:val="auto"/>
                <w:lang w:val="en-US" w:eastAsia="zh-CN"/>
              </w:rPr>
              <w:t>有灭火器消防栓等消防设施。</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51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监视和测量</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9.1.1</w:t>
            </w:r>
          </w:p>
        </w:tc>
        <w:tc>
          <w:tcPr>
            <w:tcW w:w="381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编制了《绩效及法律法规合规性监视和测量控制程序》，通过以下几种方式对运行过程进行监视和测量：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●该公司对管理体系过程进行监视和测量的方法包括：内审、管理评审、目标考核、过程的监视和测量检查等。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内审、管理评审、目标考核详见相关审核记录.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每月进行一次过程的监视和测量的检查，发现问题立即整改。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查见20</w:t>
            </w:r>
            <w:r>
              <w:rPr>
                <w:rFonts w:hint="eastAsia" w:ascii="Times New Roman" w:hAnsi="Times New Roman"/>
                <w:color w:val="auto"/>
                <w:lang w:val="en-US" w:eastAsia="zh-CN"/>
              </w:rPr>
              <w:t>21.</w:t>
            </w:r>
            <w:r>
              <w:rPr>
                <w:rFonts w:hint="eastAsia"/>
                <w:color w:val="auto"/>
                <w:lang w:val="en-US" w:eastAsia="zh-CN"/>
              </w:rPr>
              <w:t>7</w:t>
            </w:r>
            <w:r>
              <w:rPr>
                <w:rFonts w:ascii="Times New Roman" w:hAnsi="Times New Roman"/>
                <w:color w:val="auto"/>
              </w:rPr>
              <w:t>.</w:t>
            </w:r>
            <w:r>
              <w:rPr>
                <w:rFonts w:hint="eastAsia" w:ascii="Times New Roman" w:hAnsi="Times New Roman"/>
                <w:color w:val="auto"/>
                <w:lang w:val="en-US" w:eastAsia="zh-CN"/>
              </w:rPr>
              <w:t>30</w:t>
            </w:r>
            <w:r>
              <w:rPr>
                <w:rFonts w:ascii="Times New Roman" w:hAnsi="Times New Roman"/>
                <w:color w:val="auto"/>
              </w:rPr>
              <w:t>/202</w:t>
            </w:r>
            <w:r>
              <w:rPr>
                <w:rFonts w:hint="eastAsia" w:ascii="Times New Roman" w:hAnsi="Times New Roman"/>
                <w:color w:val="auto"/>
                <w:lang w:val="en-US" w:eastAsia="zh-CN"/>
              </w:rPr>
              <w:t>1.</w:t>
            </w:r>
            <w:r>
              <w:rPr>
                <w:rFonts w:hint="eastAsia"/>
                <w:color w:val="auto"/>
                <w:lang w:val="en-US" w:eastAsia="zh-CN"/>
              </w:rPr>
              <w:t>10</w:t>
            </w:r>
            <w:r>
              <w:rPr>
                <w:rFonts w:ascii="Times New Roman" w:hAnsi="Times New Roman"/>
                <w:color w:val="auto"/>
              </w:rPr>
              <w:t>.30《管理体系运行情况检查表》，内容包括：危险源、法律法规其他要求、目标、指标和方案、资源、作用、职责和权限、能力、培训和意识、信息交流、文件控制等。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color w:val="auto"/>
              </w:rPr>
            </w:pPr>
            <w:r>
              <w:rPr>
                <w:rFonts w:ascii="Times New Roman" w:hAnsi="Times New Roman"/>
                <w:color w:val="auto"/>
              </w:rPr>
              <w:t>●日常监督检查：管代负责对各部门的环境职业健康安全行为进行不定期的巡检。</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hint="eastAsia" w:ascii="Times New Roman" w:hAnsi="Times New Roman"/>
                <w:color w:val="auto"/>
              </w:rPr>
              <w:t>提供有对办公区的环境和安全检查记录表数份。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hint="eastAsia" w:ascii="Times New Roman" w:hAnsi="Times New Roman"/>
                <w:color w:val="auto"/>
              </w:rPr>
              <w:t>20</w:t>
            </w:r>
            <w:r>
              <w:rPr>
                <w:rFonts w:hint="eastAsia" w:ascii="Times New Roman" w:hAnsi="Times New Roman"/>
                <w:color w:val="auto"/>
                <w:lang w:val="en-US" w:eastAsia="zh-CN"/>
              </w:rPr>
              <w:t>21</w:t>
            </w:r>
            <w:r>
              <w:rPr>
                <w:rFonts w:hint="eastAsia" w:ascii="Times New Roman" w:hAnsi="Times New Roman"/>
                <w:color w:val="auto"/>
              </w:rPr>
              <w:t>年</w:t>
            </w:r>
            <w:r>
              <w:rPr>
                <w:rFonts w:hint="eastAsia"/>
                <w:color w:val="auto"/>
                <w:lang w:val="en-US" w:eastAsia="zh-CN"/>
              </w:rPr>
              <w:t>9</w:t>
            </w:r>
            <w:r>
              <w:rPr>
                <w:rFonts w:hint="eastAsia" w:ascii="Times New Roman" w:hAnsi="Times New Roman"/>
                <w:color w:val="auto"/>
              </w:rPr>
              <w:t>月</w:t>
            </w:r>
            <w:r>
              <w:rPr>
                <w:rFonts w:hint="eastAsia" w:ascii="Times New Roman" w:hAnsi="Times New Roman"/>
                <w:color w:val="auto"/>
                <w:lang w:val="en-US" w:eastAsia="zh-CN"/>
              </w:rPr>
              <w:t>30</w:t>
            </w:r>
            <w:r>
              <w:rPr>
                <w:rFonts w:hint="eastAsia" w:ascii="Times New Roman" w:hAnsi="Times New Roman"/>
                <w:color w:val="auto"/>
              </w:rPr>
              <w:t>日公司对</w:t>
            </w:r>
            <w:r>
              <w:rPr>
                <w:rFonts w:hint="eastAsia"/>
                <w:color w:val="auto"/>
                <w:lang w:val="en-US" w:eastAsia="zh-CN"/>
              </w:rPr>
              <w:t>办公区</w:t>
            </w:r>
            <w:r>
              <w:rPr>
                <w:rFonts w:hint="eastAsia" w:ascii="Times New Roman" w:hAnsi="Times New Roman"/>
                <w:color w:val="auto"/>
              </w:rPr>
              <w:t>内的办公环境进行了检查，检查项目有用电安全、消防安全、车辆行驶安全、财产安全等，检查未见隐患，检查人</w:t>
            </w:r>
            <w:r>
              <w:rPr>
                <w:rFonts w:hint="eastAsia"/>
                <w:color w:val="auto"/>
                <w:lang w:val="en-US" w:eastAsia="zh-CN"/>
              </w:rPr>
              <w:t>：安景治</w:t>
            </w:r>
            <w:r>
              <w:rPr>
                <w:rFonts w:hint="eastAsia" w:ascii="Times New Roman" w:hAnsi="Times New Roman"/>
                <w:color w:val="auto"/>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●职业健康安全监测：职业健康安全目标指标：已完成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olor w:val="auto"/>
                <w:highlight w:val="none"/>
                <w:u w:val="single"/>
                <w:lang w:val="en-US" w:eastAsia="zh-CN"/>
              </w:rPr>
            </w:pPr>
            <w:r>
              <w:rPr>
                <w:rFonts w:hint="eastAsia"/>
                <w:color w:val="auto"/>
                <w:highlight w:val="none"/>
                <w:u w:val="single"/>
                <w:lang w:val="en-US" w:eastAsia="zh-CN"/>
              </w:rPr>
              <w:t>未提供</w:t>
            </w:r>
            <w:r>
              <w:rPr>
                <w:rFonts w:ascii="Times New Roman" w:hAnsi="Times New Roman"/>
                <w:color w:val="auto"/>
                <w:highlight w:val="none"/>
                <w:u w:val="single"/>
              </w:rPr>
              <w:t>对员工进行</w:t>
            </w:r>
            <w:r>
              <w:rPr>
                <w:rFonts w:hint="eastAsia" w:ascii="Times New Roman" w:hAnsi="Times New Roman"/>
                <w:color w:val="auto"/>
                <w:highlight w:val="none"/>
                <w:u w:val="single"/>
                <w:lang w:val="en-US" w:eastAsia="zh-CN"/>
              </w:rPr>
              <w:t>了</w:t>
            </w:r>
            <w:r>
              <w:rPr>
                <w:rFonts w:ascii="Times New Roman" w:hAnsi="Times New Roman"/>
                <w:color w:val="auto"/>
                <w:highlight w:val="none"/>
                <w:u w:val="single"/>
              </w:rPr>
              <w:t>体检</w:t>
            </w:r>
            <w:r>
              <w:rPr>
                <w:rFonts w:hint="eastAsia"/>
                <w:color w:val="auto"/>
                <w:highlight w:val="none"/>
                <w:u w:val="single"/>
                <w:lang w:val="en-US" w:eastAsia="zh-CN"/>
              </w:rPr>
              <w:t>的证据。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自体系建立以来没有发生过安全事故。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●监测设备：公司暂无职业健康安全监测设备。</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ascii="Times New Roman" w:hAnsi="Times New Roman"/>
                <w:color w:val="auto"/>
              </w:rPr>
            </w:pPr>
          </w:p>
          <w:p>
            <w:pPr>
              <w:pStyle w:val="2"/>
              <w:rPr>
                <w:rFonts w:hint="eastAsia" w:ascii="Times New Roman" w:hAnsi="Times New Roman" w:eastAsia="宋体"/>
                <w:color w:val="auto"/>
                <w:lang w:val="en-US" w:eastAsia="zh-CN"/>
              </w:rPr>
            </w:pPr>
            <w:bookmarkStart w:id="1" w:name="_GoBack"/>
            <w:bookmarkEnd w:id="1"/>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515"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合规性评价</w:t>
            </w:r>
          </w:p>
        </w:tc>
        <w:tc>
          <w:tcPr>
            <w:tcW w:w="34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9.1.2</w:t>
            </w:r>
          </w:p>
        </w:tc>
        <w:tc>
          <w:tcPr>
            <w:tcW w:w="3818"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策划编制了《合规性评价控制程序》，经查符合要求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查合规性评价：202</w:t>
            </w:r>
            <w:r>
              <w:rPr>
                <w:rFonts w:hint="eastAsia" w:ascii="Times New Roman" w:hAnsi="Times New Roman"/>
                <w:color w:val="auto"/>
                <w:lang w:val="en-US" w:eastAsia="zh-CN"/>
              </w:rPr>
              <w:t>1</w:t>
            </w:r>
            <w:r>
              <w:rPr>
                <w:rFonts w:ascii="Times New Roman" w:hAnsi="Times New Roman"/>
                <w:color w:val="auto"/>
              </w:rPr>
              <w:t>年</w:t>
            </w:r>
            <w:r>
              <w:rPr>
                <w:rFonts w:hint="eastAsia" w:ascii="Times New Roman" w:hAnsi="Times New Roman"/>
                <w:color w:val="auto"/>
                <w:lang w:val="en-US" w:eastAsia="zh-CN"/>
              </w:rPr>
              <w:t>6</w:t>
            </w:r>
            <w:r>
              <w:rPr>
                <w:rFonts w:ascii="Times New Roman" w:hAnsi="Times New Roman"/>
                <w:color w:val="auto"/>
              </w:rPr>
              <w:t>月</w:t>
            </w:r>
            <w:r>
              <w:rPr>
                <w:rFonts w:hint="eastAsia"/>
                <w:color w:val="auto"/>
                <w:lang w:val="en-US" w:eastAsia="zh-CN"/>
              </w:rPr>
              <w:t>22</w:t>
            </w:r>
            <w:r>
              <w:rPr>
                <w:rFonts w:ascii="Times New Roman" w:hAnsi="Times New Roman"/>
                <w:color w:val="auto"/>
              </w:rPr>
              <w:t>日进行合规性评价，提供了《合规性评价表》，包括：活动场所/产品/服务、不可接受风险、现有控制措施、适用的法律法规及其对应条款、符合性评价等。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lang w:val="zh-CN"/>
              </w:rPr>
            </w:pPr>
            <w:r>
              <w:rPr>
                <w:rFonts w:ascii="Times New Roman" w:hAnsi="Times New Roman"/>
                <w:color w:val="auto"/>
              </w:rPr>
              <w:t>评价内容：潜在火灾、劳动管理、劳动防护、安全事故、物体打击、驾驶车辆、用电</w:t>
            </w:r>
            <w:r>
              <w:rPr>
                <w:rFonts w:hint="eastAsia"/>
                <w:color w:val="auto"/>
                <w:lang w:val="en-US" w:eastAsia="zh-CN"/>
              </w:rPr>
              <w:t>等</w:t>
            </w:r>
            <w:r>
              <w:rPr>
                <w:rFonts w:ascii="Times New Roman" w:hAnsi="Times New Roman"/>
                <w:color w:val="auto"/>
              </w:rPr>
              <w:t>，涉及相对的法律法规要求。</w:t>
            </w:r>
          </w:p>
        </w:tc>
        <w:tc>
          <w:tcPr>
            <w:tcW w:w="317"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bl>
    <w:p>
      <w:pPr>
        <w:pStyle w:val="2"/>
      </w:pPr>
    </w:p>
    <w:p/>
    <w:p>
      <w:pPr>
        <w:pStyle w:val="5"/>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857DCC"/>
    <w:rsid w:val="15735EBE"/>
    <w:rsid w:val="3A477CA1"/>
    <w:rsid w:val="3ECB55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1"/>
    <w:next w:val="1"/>
    <w:unhideWhenUsed/>
    <w:qFormat/>
    <w:uiPriority w:val="99"/>
    <w:pPr>
      <w:ind w:firstLine="420" w:firstLineChars="200"/>
    </w:pPr>
    <w:rPr>
      <w:szCs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4</TotalTime>
  <ScaleCrop>false</ScaleCrop>
  <LinksUpToDate>false</LinksUpToDate>
  <CharactersWithSpaces>101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2021-12-29T09:56:20Z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2052-11.1.0.11194</vt:lpwstr>
  </property>
</Properties>
</file>