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1298-2021-EO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487"/>
        <w:gridCol w:w="850"/>
        <w:gridCol w:w="330"/>
        <w:gridCol w:w="238"/>
        <w:gridCol w:w="113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松江机电集团有限公司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91500106582807823N</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松江机电集团有限公司</w:t>
            </w:r>
            <w:bookmarkEnd w:id="17"/>
          </w:p>
        </w:tc>
        <w:tc>
          <w:tcPr>
            <w:tcW w:w="5013" w:type="dxa"/>
            <w:gridSpan w:val="6"/>
            <w:vMerge w:val="restart"/>
          </w:tcPr>
          <w:p>
            <w:pPr>
              <w:snapToGrid w:val="0"/>
              <w:spacing w:line="0" w:lineRule="atLeast"/>
              <w:jc w:val="left"/>
              <w:rPr>
                <w:sz w:val="22"/>
                <w:szCs w:val="22"/>
              </w:rPr>
            </w:pPr>
            <w:bookmarkStart w:id="18" w:name="审核范围"/>
            <w:r>
              <w:rPr>
                <w:sz w:val="22"/>
                <w:szCs w:val="22"/>
              </w:rPr>
              <w:t>E：减震器、阀门的销售所涉及场所的相关环境管理活动</w:t>
            </w:r>
          </w:p>
          <w:p>
            <w:pPr>
              <w:snapToGrid w:val="0"/>
              <w:spacing w:line="0" w:lineRule="atLeast"/>
              <w:jc w:val="left"/>
              <w:rPr>
                <w:sz w:val="22"/>
                <w:szCs w:val="22"/>
              </w:rPr>
            </w:pPr>
            <w:r>
              <w:rPr>
                <w:sz w:val="22"/>
                <w:szCs w:val="22"/>
              </w:rPr>
              <w:t>O：减震器、阀门的销售所涉及场所的相关职业健康安全管理活动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重庆市沙坪坝区山洞工业园区碑口92号</w:t>
            </w:r>
            <w:bookmarkEnd w:id="19"/>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重庆市沙坪坝区山洞工业园区碑口92号</w:t>
            </w:r>
            <w:bookmarkEnd w:id="20"/>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color w:val="auto"/>
                <w:sz w:val="22"/>
                <w:szCs w:val="22"/>
              </w:rPr>
            </w:pPr>
            <w:r>
              <w:rPr>
                <w:rFonts w:hint="eastAsia"/>
                <w:color w:val="auto"/>
                <w:sz w:val="22"/>
                <w:szCs w:val="22"/>
              </w:rPr>
              <w:t>Songjiang Electromechanical group Co., Ltd</w:t>
            </w:r>
          </w:p>
        </w:tc>
        <w:tc>
          <w:tcPr>
            <w:tcW w:w="1337" w:type="dxa"/>
            <w:gridSpan w:val="2"/>
          </w:tcPr>
          <w:p>
            <w:pPr>
              <w:snapToGrid w:val="0"/>
              <w:spacing w:line="0" w:lineRule="atLeast"/>
              <w:jc w:val="left"/>
              <w:rPr>
                <w:color w:val="auto"/>
                <w:sz w:val="22"/>
                <w:szCs w:val="22"/>
              </w:rPr>
            </w:pPr>
            <w:r>
              <w:rPr>
                <w:rFonts w:hint="eastAsia"/>
                <w:color w:val="auto"/>
                <w:sz w:val="22"/>
                <w:szCs w:val="22"/>
              </w:rPr>
              <w:t>QMS/EcMS</w:t>
            </w:r>
          </w:p>
        </w:tc>
        <w:tc>
          <w:tcPr>
            <w:tcW w:w="3676" w:type="dxa"/>
            <w:gridSpan w:val="4"/>
          </w:tcPr>
          <w:p>
            <w:pPr>
              <w:snapToGrid w:val="0"/>
              <w:spacing w:line="0" w:lineRule="atLeast"/>
              <w:jc w:val="left"/>
              <w:rPr>
                <w:color w:val="auto"/>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hint="eastAsia"/>
                <w:color w:val="auto"/>
                <w:sz w:val="22"/>
                <w:szCs w:val="22"/>
              </w:rPr>
            </w:pPr>
          </w:p>
        </w:tc>
        <w:tc>
          <w:tcPr>
            <w:tcW w:w="1337" w:type="dxa"/>
            <w:gridSpan w:val="2"/>
          </w:tcPr>
          <w:p>
            <w:pPr>
              <w:snapToGrid w:val="0"/>
              <w:spacing w:line="0" w:lineRule="atLeast"/>
              <w:jc w:val="left"/>
              <w:rPr>
                <w:color w:val="auto"/>
                <w:sz w:val="22"/>
                <w:szCs w:val="22"/>
              </w:rPr>
            </w:pPr>
            <w:r>
              <w:rPr>
                <w:rFonts w:hint="eastAsia"/>
                <w:color w:val="auto"/>
                <w:sz w:val="22"/>
                <w:szCs w:val="22"/>
              </w:rPr>
              <w:t>EMS</w:t>
            </w:r>
          </w:p>
        </w:tc>
        <w:tc>
          <w:tcPr>
            <w:tcW w:w="3676" w:type="dxa"/>
            <w:gridSpan w:val="4"/>
          </w:tcPr>
          <w:p>
            <w:pPr>
              <w:snapToGrid w:val="0"/>
              <w:spacing w:line="0" w:lineRule="atLeast"/>
              <w:jc w:val="left"/>
              <w:rPr>
                <w:color w:val="auto"/>
                <w:sz w:val="21"/>
                <w:szCs w:val="16"/>
              </w:rPr>
            </w:pPr>
            <w:r>
              <w:rPr>
                <w:rFonts w:hint="eastAsia"/>
                <w:color w:val="auto"/>
                <w:sz w:val="22"/>
                <w:szCs w:val="22"/>
              </w:rPr>
              <w:t>Relevant environmental management activities of places involved in the sales of shock absorbers and valves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color w:val="auto"/>
                <w:sz w:val="22"/>
                <w:szCs w:val="22"/>
              </w:rPr>
            </w:pPr>
            <w:r>
              <w:rPr>
                <w:rFonts w:hint="eastAsia"/>
                <w:color w:val="auto"/>
                <w:sz w:val="22"/>
                <w:szCs w:val="22"/>
              </w:rPr>
              <w:t>No. 92, beikou, Shandong Industrial Park, Shapingba District, Chongqing</w:t>
            </w:r>
          </w:p>
        </w:tc>
        <w:tc>
          <w:tcPr>
            <w:tcW w:w="1337" w:type="dxa"/>
            <w:gridSpan w:val="2"/>
          </w:tcPr>
          <w:p>
            <w:pPr>
              <w:snapToGrid w:val="0"/>
              <w:spacing w:line="0" w:lineRule="atLeast"/>
              <w:jc w:val="left"/>
              <w:rPr>
                <w:color w:val="auto"/>
                <w:sz w:val="22"/>
                <w:szCs w:val="22"/>
              </w:rPr>
            </w:pPr>
            <w:r>
              <w:rPr>
                <w:rFonts w:hint="eastAsia"/>
                <w:color w:val="auto"/>
                <w:sz w:val="22"/>
                <w:szCs w:val="22"/>
              </w:rPr>
              <w:t>OHSMS</w:t>
            </w:r>
          </w:p>
        </w:tc>
        <w:tc>
          <w:tcPr>
            <w:tcW w:w="3676" w:type="dxa"/>
            <w:gridSpan w:val="4"/>
          </w:tcPr>
          <w:p>
            <w:pPr>
              <w:snapToGrid w:val="0"/>
              <w:spacing w:line="0" w:lineRule="atLeast"/>
              <w:jc w:val="left"/>
              <w:rPr>
                <w:color w:val="auto"/>
                <w:sz w:val="22"/>
                <w:szCs w:val="22"/>
              </w:rPr>
            </w:pPr>
            <w:r>
              <w:rPr>
                <w:rFonts w:hint="eastAsia"/>
                <w:color w:val="auto"/>
                <w:sz w:val="22"/>
                <w:szCs w:val="22"/>
              </w:rPr>
              <w:t>Relevant occupational health and safety management activities in the places involved in the sales of shock absorbers and valves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color w:val="auto"/>
                <w:sz w:val="22"/>
                <w:szCs w:val="22"/>
              </w:rPr>
            </w:pPr>
          </w:p>
        </w:tc>
        <w:tc>
          <w:tcPr>
            <w:tcW w:w="1337" w:type="dxa"/>
            <w:gridSpan w:val="2"/>
          </w:tcPr>
          <w:p>
            <w:pPr>
              <w:snapToGrid w:val="0"/>
              <w:spacing w:line="0" w:lineRule="atLeast"/>
              <w:jc w:val="left"/>
              <w:rPr>
                <w:color w:val="auto"/>
                <w:sz w:val="22"/>
                <w:szCs w:val="22"/>
              </w:rPr>
            </w:pPr>
            <w:r>
              <w:rPr>
                <w:rFonts w:hint="eastAsia"/>
                <w:color w:val="auto"/>
                <w:sz w:val="22"/>
                <w:szCs w:val="22"/>
              </w:rPr>
              <w:t>EnMS</w:t>
            </w:r>
          </w:p>
        </w:tc>
        <w:tc>
          <w:tcPr>
            <w:tcW w:w="3676" w:type="dxa"/>
            <w:gridSpan w:val="4"/>
          </w:tcPr>
          <w:p>
            <w:pPr>
              <w:snapToGrid w:val="0"/>
              <w:spacing w:line="0" w:lineRule="atLeast"/>
              <w:jc w:val="left"/>
              <w:rPr>
                <w:color w:val="auto"/>
                <w:sz w:val="20"/>
                <w:szCs w:val="20"/>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color w:val="auto"/>
                <w:sz w:val="22"/>
                <w:szCs w:val="22"/>
              </w:rPr>
            </w:pPr>
            <w:r>
              <w:rPr>
                <w:rFonts w:hint="eastAsia"/>
                <w:color w:val="auto"/>
                <w:sz w:val="22"/>
                <w:szCs w:val="22"/>
              </w:rPr>
              <w:t>No. 92, beikou, Shandong Industrial Park, Shapingba District, Chongqing</w:t>
            </w:r>
          </w:p>
        </w:tc>
        <w:tc>
          <w:tcPr>
            <w:tcW w:w="1337" w:type="dxa"/>
            <w:gridSpan w:val="2"/>
          </w:tcPr>
          <w:p>
            <w:pPr>
              <w:snapToGrid w:val="0"/>
              <w:spacing w:line="0" w:lineRule="atLeast"/>
              <w:jc w:val="left"/>
              <w:rPr>
                <w:color w:val="auto"/>
                <w:sz w:val="22"/>
                <w:szCs w:val="22"/>
              </w:rPr>
            </w:pPr>
            <w:r>
              <w:rPr>
                <w:rFonts w:hint="eastAsia"/>
                <w:color w:val="auto"/>
                <w:sz w:val="22"/>
                <w:szCs w:val="22"/>
              </w:rPr>
              <w:t>FSMS</w:t>
            </w:r>
          </w:p>
        </w:tc>
        <w:tc>
          <w:tcPr>
            <w:tcW w:w="3676"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gridSpan w:val="2"/>
          </w:tcPr>
          <w:p>
            <w:pPr>
              <w:snapToGrid w:val="0"/>
              <w:spacing w:line="0" w:lineRule="atLeast"/>
              <w:jc w:val="left"/>
              <w:rPr>
                <w:color w:val="auto"/>
                <w:sz w:val="22"/>
                <w:szCs w:val="22"/>
              </w:rPr>
            </w:pPr>
            <w:r>
              <w:rPr>
                <w:rFonts w:hint="eastAsia"/>
                <w:color w:val="auto"/>
                <w:sz w:val="22"/>
                <w:szCs w:val="22"/>
              </w:rPr>
              <w:t>HACCP</w:t>
            </w:r>
          </w:p>
        </w:tc>
        <w:tc>
          <w:tcPr>
            <w:tcW w:w="3676" w:type="dxa"/>
            <w:gridSpan w:val="4"/>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86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18" w:type="dxa"/>
            <w:gridSpan w:val="3"/>
          </w:tcPr>
          <w:p>
            <w:pPr>
              <w:snapToGrid w:val="0"/>
              <w:spacing w:line="0" w:lineRule="atLeast"/>
              <w:jc w:val="left"/>
              <w:rPr>
                <w:sz w:val="22"/>
                <w:szCs w:val="22"/>
              </w:rPr>
            </w:pPr>
            <w:r>
              <w:rPr>
                <w:rFonts w:hint="eastAsia"/>
                <w:sz w:val="22"/>
                <w:szCs w:val="18"/>
              </w:rPr>
              <w:t>审核组长签字</w:t>
            </w:r>
          </w:p>
        </w:tc>
        <w:tc>
          <w:tcPr>
            <w:tcW w:w="3108"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C13F07"/>
    <w:rsid w:val="214C6AFA"/>
    <w:rsid w:val="2952045D"/>
    <w:rsid w:val="2D666D20"/>
    <w:rsid w:val="5B691CD0"/>
    <w:rsid w:val="74575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2021-12-14T02:34:17Z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