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1298-2021-EO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松江机电集团有限公司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2021年12月13日 上午至2021年12月13日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85"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eastAsia="宋体" w:cs="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eastAsia="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hAnsi="宋体" w:eastAsia="宋体" w:cs="宋体"/>
                <w:b/>
                <w:szCs w:val="21"/>
              </w:rPr>
              <w:t>■</w:t>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394"/>
        <w:gridCol w:w="1616"/>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394" w:type="dxa"/>
            <w:vAlign w:val="center"/>
          </w:tcPr>
          <w:p>
            <w:pPr>
              <w:spacing w:line="240" w:lineRule="exact"/>
              <w:jc w:val="center"/>
              <w:rPr>
                <w:b/>
                <w:color w:val="000000"/>
                <w:szCs w:val="21"/>
              </w:rPr>
            </w:pPr>
            <w:r>
              <w:rPr>
                <w:rFonts w:hint="eastAsia"/>
                <w:szCs w:val="21"/>
              </w:rPr>
              <w:t>审核员注册证书号</w:t>
            </w:r>
          </w:p>
        </w:tc>
        <w:tc>
          <w:tcPr>
            <w:tcW w:w="1616"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394" w:type="dxa"/>
            <w:vAlign w:val="center"/>
          </w:tcPr>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1616" w:type="dxa"/>
            <w:vAlign w:val="center"/>
          </w:tcPr>
          <w:p>
            <w:pPr>
              <w:spacing w:line="240" w:lineRule="exact"/>
              <w:jc w:val="center"/>
              <w:rPr>
                <w:b/>
                <w:color w:val="000000"/>
                <w:szCs w:val="21"/>
              </w:rPr>
            </w:pPr>
            <w:r>
              <w:rPr>
                <w:b/>
                <w:color w:val="000000"/>
                <w:szCs w:val="21"/>
              </w:rPr>
              <w:t>E:29.10.07</w:t>
            </w:r>
          </w:p>
          <w:p>
            <w:pPr>
              <w:spacing w:line="240" w:lineRule="exact"/>
              <w:jc w:val="center"/>
              <w:rPr>
                <w:b/>
                <w:color w:val="000000"/>
                <w:szCs w:val="21"/>
              </w:rPr>
            </w:pPr>
            <w:r>
              <w:rPr>
                <w:b/>
                <w:color w:val="000000"/>
                <w:szCs w:val="21"/>
              </w:rPr>
              <w:t>O:29.10.07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394" w:type="dxa"/>
            <w:vAlign w:val="center"/>
          </w:tcPr>
          <w:p>
            <w:pPr>
              <w:rPr>
                <w:b/>
                <w:color w:val="000000"/>
                <w:szCs w:val="21"/>
              </w:rPr>
            </w:pPr>
          </w:p>
        </w:tc>
        <w:tc>
          <w:tcPr>
            <w:tcW w:w="1616"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394" w:type="dxa"/>
            <w:vAlign w:val="center"/>
          </w:tcPr>
          <w:p>
            <w:pPr>
              <w:rPr>
                <w:b/>
                <w:color w:val="000000"/>
                <w:szCs w:val="21"/>
              </w:rPr>
            </w:pPr>
            <w:r>
              <w:rPr>
                <w:rFonts w:hint="eastAsia"/>
                <w:b/>
                <w:color w:val="000000"/>
                <w:szCs w:val="21"/>
              </w:rPr>
              <w:t>工作单位</w:t>
            </w:r>
          </w:p>
        </w:tc>
        <w:tc>
          <w:tcPr>
            <w:tcW w:w="2704"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394" w:type="dxa"/>
            <w:vAlign w:val="center"/>
          </w:tcPr>
          <w:p>
            <w:pPr>
              <w:rPr>
                <w:b/>
                <w:color w:val="000000"/>
                <w:szCs w:val="21"/>
              </w:rPr>
            </w:pPr>
          </w:p>
        </w:tc>
        <w:tc>
          <w:tcPr>
            <w:tcW w:w="2704"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394" w:type="dxa"/>
            <w:vAlign w:val="center"/>
          </w:tcPr>
          <w:p>
            <w:pPr>
              <w:rPr>
                <w:b/>
                <w:color w:val="000000"/>
                <w:szCs w:val="21"/>
                <w:highlight w:val="green"/>
              </w:rPr>
            </w:pPr>
          </w:p>
        </w:tc>
        <w:tc>
          <w:tcPr>
            <w:tcW w:w="2704"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松江机电集团有限公司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重庆市沙坪坝区山洞工业园区碑口92号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重庆市沙坪坝区山洞工业园区碑口92号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周一鑫</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18616650066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周丹</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周一鑫</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rPr>
                <w:sz w:val="20"/>
              </w:rPr>
            </w:pPr>
            <w:r>
              <w:rPr>
                <w:rFonts w:hint="eastAsia" w:ascii="宋体" w:hAnsi="宋体"/>
                <w:b/>
                <w:color w:val="000000"/>
                <w:szCs w:val="21"/>
              </w:rPr>
              <w:t>服务：</w:t>
            </w:r>
            <w:r>
              <w:rPr>
                <w:sz w:val="20"/>
              </w:rPr>
              <w:t>减震器、阀门的销售所涉及场所的相关环境管理活动</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color w:val="auto"/>
                <w:highlight w:val="none"/>
                <w:lang w:val="en-US" w:eastAsia="zh-CN"/>
              </w:rPr>
              <w:t>业务洽谈----</w:t>
            </w:r>
            <w:r>
              <w:rPr>
                <w:rFonts w:hint="eastAsia"/>
                <w:color w:val="auto"/>
                <w:highlight w:val="none"/>
              </w:rPr>
              <w:t>签订合同-----采购产品----产品交付----售后服务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rPr>
                <w:sz w:val="20"/>
              </w:rPr>
              <w:t>减震器、阀门的销售所涉及场所的相关环境管理活动</w:t>
            </w:r>
          </w:p>
        </w:tc>
        <w:tc>
          <w:tcPr>
            <w:tcW w:w="2006" w:type="dxa"/>
            <w:gridSpan w:val="3"/>
            <w:vAlign w:val="center"/>
          </w:tcPr>
          <w:p>
            <w:pPr>
              <w:spacing w:line="400" w:lineRule="exact"/>
              <w:rPr>
                <w:rFonts w:ascii="宋体" w:hAnsi="宋体"/>
                <w:b/>
                <w:color w:val="000000"/>
                <w:szCs w:val="21"/>
              </w:rPr>
            </w:pPr>
            <w:r>
              <w:rPr>
                <w:sz w:val="20"/>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0"/>
              </w:rPr>
              <w:t>减震器、阀门的销售所涉及场所的相关职业健康安全管理活动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0"/>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2245"/>
        <w:gridCol w:w="1600"/>
        <w:gridCol w:w="627"/>
        <w:gridCol w:w="2446"/>
        <w:gridCol w:w="117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128"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45"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0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2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446"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7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128" w:type="dxa"/>
            <w:vAlign w:val="center"/>
          </w:tcPr>
          <w:p>
            <w:pPr>
              <w:spacing w:before="40" w:after="40"/>
              <w:rPr>
                <w:rFonts w:eastAsia="黑体"/>
                <w:szCs w:val="21"/>
                <w:lang w:eastAsia="ja-JP"/>
              </w:rPr>
            </w:pPr>
            <w:r>
              <w:rPr>
                <w:rFonts w:eastAsia="黑体"/>
                <w:szCs w:val="21"/>
                <w:lang w:eastAsia="ja-JP"/>
              </w:rPr>
              <w:t>01</w:t>
            </w:r>
          </w:p>
        </w:tc>
        <w:tc>
          <w:tcPr>
            <w:tcW w:w="2245" w:type="dxa"/>
            <w:vAlign w:val="top"/>
          </w:tcPr>
          <w:p>
            <w:pPr>
              <w:rPr>
                <w:rFonts w:hint="eastAsia" w:ascii="Times New Roman" w:hAnsi="Times New Roman" w:eastAsia="宋体" w:cs="Times New Roman"/>
                <w:kern w:val="2"/>
                <w:sz w:val="21"/>
                <w:szCs w:val="24"/>
                <w:lang w:val="de-DE" w:eastAsia="ja-JP" w:bidi="ar-SA"/>
              </w:rPr>
            </w:pPr>
            <w:r>
              <w:rPr>
                <w:rFonts w:hint="eastAsia"/>
                <w:sz w:val="21"/>
                <w:szCs w:val="21"/>
                <w:lang w:eastAsia="zh-CN"/>
              </w:rPr>
              <w:t>松江机电集团有限公司</w:t>
            </w:r>
            <w:r>
              <w:rPr>
                <w:rFonts w:hint="eastAsia"/>
                <w:sz w:val="21"/>
                <w:szCs w:val="21"/>
                <w:lang w:val="en-US" w:eastAsia="zh-CN"/>
              </w:rPr>
              <w:t>/</w:t>
            </w:r>
            <w:r>
              <w:rPr>
                <w:rFonts w:asciiTheme="minorEastAsia" w:hAnsiTheme="minorEastAsia" w:eastAsiaTheme="minorEastAsia"/>
                <w:sz w:val="20"/>
              </w:rPr>
              <w:t>重庆市沙坪坝区山洞工业园区碑口92号</w:t>
            </w:r>
          </w:p>
        </w:tc>
        <w:tc>
          <w:tcPr>
            <w:tcW w:w="1600"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重庆市沙坪坝区山洞工业园区碑口92号</w:t>
            </w:r>
          </w:p>
        </w:tc>
        <w:tc>
          <w:tcPr>
            <w:tcW w:w="627"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10</w:t>
            </w:r>
          </w:p>
        </w:tc>
        <w:tc>
          <w:tcPr>
            <w:tcW w:w="2446" w:type="dxa"/>
            <w:vAlign w:val="center"/>
          </w:tcPr>
          <w:p>
            <w:pPr>
              <w:rPr>
                <w:rFonts w:ascii="Times New Roman" w:hAnsi="Times New Roman" w:eastAsia="宋体" w:cs="Times New Roman"/>
                <w:kern w:val="2"/>
                <w:sz w:val="21"/>
                <w:szCs w:val="24"/>
                <w:lang w:val="en-US" w:eastAsia="ja-JP" w:bidi="ar-SA"/>
              </w:rPr>
            </w:pPr>
            <w:r>
              <w:rPr>
                <w:sz w:val="20"/>
              </w:rPr>
              <w:t>减震器、阀门的销售所涉及场所的相关环境管理活动</w:t>
            </w:r>
          </w:p>
        </w:tc>
        <w:tc>
          <w:tcPr>
            <w:tcW w:w="1178" w:type="dxa"/>
            <w:vAlign w:val="center"/>
          </w:tcPr>
          <w:p>
            <w:pPr>
              <w:spacing w:before="40" w:after="40"/>
              <w:rPr>
                <w:rFonts w:ascii="Times New Roman" w:hAnsi="Times New Roman" w:eastAsia="宋体" w:cs="Times New Roman"/>
                <w:b w:val="0"/>
                <w:bCs/>
                <w:kern w:val="2"/>
                <w:sz w:val="21"/>
                <w:szCs w:val="24"/>
                <w:lang w:val="en-US" w:eastAsia="ja-JP" w:bidi="ar-SA"/>
              </w:rPr>
            </w:pPr>
            <w:r>
              <w:rPr>
                <w:rFonts w:hint="eastAsia" w:ascii="宋体" w:hAnsi="宋体"/>
                <w:b w:val="0"/>
                <w:bCs/>
                <w:sz w:val="21"/>
                <w:szCs w:val="21"/>
              </w:rPr>
              <w:t>GB/T24001-2016</w:t>
            </w:r>
          </w:p>
        </w:tc>
        <w:tc>
          <w:tcPr>
            <w:tcW w:w="668" w:type="dxa"/>
            <w:shd w:val="clear" w:color="auto" w:fill="FFFFFF"/>
            <w:vAlign w:val="top"/>
          </w:tcPr>
          <w:p>
            <w:pPr>
              <w:rPr>
                <w:rFonts w:ascii="Times New Roman" w:hAnsi="Times New Roman" w:eastAsia="宋体" w:cs="Times New Roman"/>
                <w:b w:val="0"/>
                <w:bCs/>
                <w:kern w:val="2"/>
                <w:sz w:val="21"/>
                <w:szCs w:val="24"/>
                <w:lang w:val="en-US" w:eastAsia="zh-CN" w:bidi="ar-SA"/>
              </w:rPr>
            </w:pPr>
            <w:r>
              <w:rPr>
                <w:rFonts w:hint="eastAsia"/>
                <w:b w:val="0"/>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8" w:type="dxa"/>
            <w:vAlign w:val="center"/>
          </w:tcPr>
          <w:p>
            <w:pPr>
              <w:spacing w:before="40" w:after="40"/>
              <w:rPr>
                <w:rFonts w:eastAsia="黑体"/>
                <w:szCs w:val="21"/>
                <w:lang w:eastAsia="ja-JP"/>
              </w:rPr>
            </w:pPr>
            <w:r>
              <w:rPr>
                <w:rFonts w:eastAsia="黑体"/>
                <w:szCs w:val="21"/>
                <w:lang w:eastAsia="ja-JP"/>
              </w:rPr>
              <w:t>02</w:t>
            </w:r>
          </w:p>
        </w:tc>
        <w:tc>
          <w:tcPr>
            <w:tcW w:w="2245" w:type="dxa"/>
            <w:vAlign w:val="top"/>
          </w:tcPr>
          <w:p>
            <w:pPr>
              <w:rPr>
                <w:rFonts w:hint="eastAsia" w:ascii="Times New Roman" w:hAnsi="Times New Roman" w:eastAsia="宋体" w:cs="Times New Roman"/>
                <w:kern w:val="2"/>
                <w:sz w:val="21"/>
                <w:szCs w:val="24"/>
                <w:lang w:val="en-US" w:eastAsia="ja-JP" w:bidi="ar-SA"/>
              </w:rPr>
            </w:pPr>
            <w:r>
              <w:rPr>
                <w:rFonts w:hint="eastAsia"/>
                <w:sz w:val="21"/>
                <w:szCs w:val="21"/>
                <w:lang w:eastAsia="zh-CN"/>
              </w:rPr>
              <w:t>松江机电集团有限公司</w:t>
            </w:r>
            <w:r>
              <w:rPr>
                <w:rFonts w:hint="eastAsia"/>
                <w:sz w:val="21"/>
                <w:szCs w:val="21"/>
                <w:lang w:val="en-US" w:eastAsia="zh-CN"/>
              </w:rPr>
              <w:t>/</w:t>
            </w:r>
            <w:r>
              <w:rPr>
                <w:rFonts w:asciiTheme="minorEastAsia" w:hAnsiTheme="minorEastAsia" w:eastAsiaTheme="minorEastAsia"/>
                <w:sz w:val="20"/>
              </w:rPr>
              <w:t>重庆市沙坪坝区山洞工业园区碑口92号</w:t>
            </w:r>
          </w:p>
        </w:tc>
        <w:tc>
          <w:tcPr>
            <w:tcW w:w="1600"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重庆市沙坪坝区山洞工业园区碑口92号</w:t>
            </w:r>
          </w:p>
        </w:tc>
        <w:tc>
          <w:tcPr>
            <w:tcW w:w="627"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10</w:t>
            </w:r>
          </w:p>
        </w:tc>
        <w:tc>
          <w:tcPr>
            <w:tcW w:w="2446" w:type="dxa"/>
            <w:vAlign w:val="center"/>
          </w:tcPr>
          <w:p>
            <w:pPr>
              <w:rPr>
                <w:rFonts w:ascii="Times New Roman" w:hAnsi="Times New Roman" w:eastAsia="宋体" w:cs="Times New Roman"/>
                <w:kern w:val="2"/>
                <w:sz w:val="21"/>
                <w:szCs w:val="24"/>
                <w:lang w:val="en-US" w:eastAsia="ja-JP" w:bidi="ar-SA"/>
              </w:rPr>
            </w:pPr>
            <w:r>
              <w:rPr>
                <w:sz w:val="20"/>
              </w:rPr>
              <w:t>减震器、阀门的销售所涉及场所的相关职业健康安全管理活动</w:t>
            </w:r>
          </w:p>
        </w:tc>
        <w:tc>
          <w:tcPr>
            <w:tcW w:w="1178" w:type="dxa"/>
            <w:vAlign w:val="center"/>
          </w:tcPr>
          <w:p>
            <w:pPr>
              <w:spacing w:before="40" w:after="40"/>
              <w:rPr>
                <w:rFonts w:ascii="Times New Roman" w:hAnsi="Times New Roman" w:eastAsia="宋体" w:cs="Times New Roman"/>
                <w:b w:val="0"/>
                <w:bCs/>
                <w:kern w:val="2"/>
                <w:sz w:val="21"/>
                <w:szCs w:val="24"/>
                <w:lang w:val="en-US" w:eastAsia="ja-JP" w:bidi="ar-SA"/>
              </w:rPr>
            </w:pPr>
            <w:r>
              <w:rPr>
                <w:rFonts w:hint="eastAsia" w:ascii="宋体" w:hAnsi="宋体"/>
                <w:b w:val="0"/>
                <w:bCs/>
                <w:sz w:val="21"/>
                <w:szCs w:val="21"/>
              </w:rPr>
              <w:t>GB/T45001-2020</w:t>
            </w:r>
          </w:p>
        </w:tc>
        <w:tc>
          <w:tcPr>
            <w:tcW w:w="668" w:type="dxa"/>
            <w:shd w:val="clear" w:color="auto" w:fill="FFFFFF"/>
            <w:vAlign w:val="top"/>
          </w:tcPr>
          <w:p>
            <w:pPr>
              <w:rPr>
                <w:rFonts w:ascii="Times New Roman" w:hAnsi="Times New Roman" w:eastAsia="宋体" w:cs="Times New Roman"/>
                <w:b w:val="0"/>
                <w:bCs/>
                <w:kern w:val="2"/>
                <w:sz w:val="21"/>
                <w:szCs w:val="24"/>
                <w:lang w:val="en-US" w:eastAsia="zh-CN" w:bidi="ar-SA"/>
              </w:rPr>
            </w:pPr>
            <w:r>
              <w:rPr>
                <w:rFonts w:hint="eastAsia"/>
                <w:b w:val="0"/>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8" w:type="dxa"/>
            <w:vAlign w:val="center"/>
          </w:tcPr>
          <w:p>
            <w:pPr>
              <w:spacing w:before="40" w:after="40"/>
              <w:rPr>
                <w:rFonts w:eastAsia="黑体"/>
                <w:szCs w:val="21"/>
                <w:lang w:eastAsia="ja-JP"/>
              </w:rPr>
            </w:pPr>
            <w:r>
              <w:rPr>
                <w:rFonts w:eastAsia="黑体"/>
                <w:szCs w:val="21"/>
                <w:lang w:eastAsia="ja-JP"/>
              </w:rPr>
              <w:t>03</w:t>
            </w:r>
          </w:p>
        </w:tc>
        <w:tc>
          <w:tcPr>
            <w:tcW w:w="2245" w:type="dxa"/>
            <w:vAlign w:val="center"/>
          </w:tcPr>
          <w:p>
            <w:pPr>
              <w:spacing w:before="40" w:after="40"/>
              <w:rPr>
                <w:rFonts w:eastAsia="黑体"/>
                <w:szCs w:val="21"/>
                <w:lang w:eastAsia="ja-JP"/>
              </w:rPr>
            </w:pPr>
          </w:p>
        </w:tc>
        <w:tc>
          <w:tcPr>
            <w:tcW w:w="1600" w:type="dxa"/>
            <w:vAlign w:val="center"/>
          </w:tcPr>
          <w:p>
            <w:pPr>
              <w:spacing w:before="40" w:after="40"/>
              <w:rPr>
                <w:rFonts w:eastAsia="黑体"/>
                <w:szCs w:val="21"/>
                <w:lang w:eastAsia="ja-JP"/>
              </w:rPr>
            </w:pPr>
          </w:p>
        </w:tc>
        <w:tc>
          <w:tcPr>
            <w:tcW w:w="627" w:type="dxa"/>
            <w:vAlign w:val="center"/>
          </w:tcPr>
          <w:p>
            <w:pPr>
              <w:spacing w:before="40" w:after="40"/>
              <w:rPr>
                <w:rFonts w:eastAsia="黑体"/>
                <w:szCs w:val="21"/>
                <w:lang w:eastAsia="ja-JP"/>
              </w:rPr>
            </w:pPr>
          </w:p>
        </w:tc>
        <w:tc>
          <w:tcPr>
            <w:tcW w:w="2446" w:type="dxa"/>
            <w:vAlign w:val="center"/>
          </w:tcPr>
          <w:p>
            <w:pPr>
              <w:spacing w:before="40" w:after="40"/>
              <w:rPr>
                <w:rFonts w:eastAsia="黑体"/>
                <w:szCs w:val="21"/>
                <w:lang w:eastAsia="ja-JP"/>
              </w:rPr>
            </w:pPr>
          </w:p>
        </w:tc>
        <w:tc>
          <w:tcPr>
            <w:tcW w:w="1178"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8" w:type="dxa"/>
            <w:vAlign w:val="center"/>
          </w:tcPr>
          <w:p>
            <w:pPr>
              <w:spacing w:before="40" w:after="40"/>
              <w:rPr>
                <w:rFonts w:eastAsia="黑体"/>
                <w:szCs w:val="21"/>
                <w:lang w:eastAsia="ja-JP"/>
              </w:rPr>
            </w:pPr>
            <w:r>
              <w:rPr>
                <w:rFonts w:eastAsia="黑体"/>
                <w:szCs w:val="21"/>
                <w:lang w:eastAsia="ja-JP"/>
              </w:rPr>
              <w:t>04</w:t>
            </w:r>
          </w:p>
        </w:tc>
        <w:tc>
          <w:tcPr>
            <w:tcW w:w="2245" w:type="dxa"/>
            <w:vAlign w:val="center"/>
          </w:tcPr>
          <w:p>
            <w:pPr>
              <w:spacing w:before="40" w:after="40"/>
              <w:rPr>
                <w:rFonts w:eastAsia="黑体"/>
                <w:szCs w:val="21"/>
                <w:lang w:eastAsia="ja-JP"/>
              </w:rPr>
            </w:pPr>
          </w:p>
        </w:tc>
        <w:tc>
          <w:tcPr>
            <w:tcW w:w="1600" w:type="dxa"/>
            <w:vAlign w:val="center"/>
          </w:tcPr>
          <w:p>
            <w:pPr>
              <w:spacing w:before="40" w:after="40"/>
              <w:rPr>
                <w:rFonts w:eastAsia="黑体"/>
                <w:szCs w:val="21"/>
                <w:lang w:eastAsia="ja-JP"/>
              </w:rPr>
            </w:pPr>
          </w:p>
        </w:tc>
        <w:tc>
          <w:tcPr>
            <w:tcW w:w="627" w:type="dxa"/>
            <w:vAlign w:val="center"/>
          </w:tcPr>
          <w:p>
            <w:pPr>
              <w:spacing w:before="40" w:after="40"/>
              <w:rPr>
                <w:rFonts w:eastAsia="黑体"/>
                <w:szCs w:val="21"/>
                <w:lang w:eastAsia="ja-JP"/>
              </w:rPr>
            </w:pPr>
          </w:p>
        </w:tc>
        <w:tc>
          <w:tcPr>
            <w:tcW w:w="2446" w:type="dxa"/>
            <w:vAlign w:val="center"/>
          </w:tcPr>
          <w:p>
            <w:pPr>
              <w:spacing w:before="40" w:after="40"/>
              <w:rPr>
                <w:rFonts w:eastAsia="黑体"/>
                <w:szCs w:val="21"/>
                <w:lang w:eastAsia="ja-JP"/>
              </w:rPr>
            </w:pPr>
          </w:p>
        </w:tc>
        <w:tc>
          <w:tcPr>
            <w:tcW w:w="1178"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8" w:type="dxa"/>
            <w:vAlign w:val="center"/>
          </w:tcPr>
          <w:p>
            <w:pPr>
              <w:spacing w:before="40" w:after="40"/>
              <w:rPr>
                <w:rFonts w:eastAsia="黑体"/>
                <w:szCs w:val="21"/>
                <w:lang w:eastAsia="ja-JP"/>
              </w:rPr>
            </w:pPr>
            <w:r>
              <w:rPr>
                <w:rFonts w:eastAsia="黑体"/>
                <w:szCs w:val="21"/>
                <w:lang w:eastAsia="ja-JP"/>
              </w:rPr>
              <w:t>05</w:t>
            </w:r>
          </w:p>
        </w:tc>
        <w:tc>
          <w:tcPr>
            <w:tcW w:w="2245" w:type="dxa"/>
            <w:vAlign w:val="center"/>
          </w:tcPr>
          <w:p>
            <w:pPr>
              <w:spacing w:before="40" w:after="40"/>
              <w:rPr>
                <w:rFonts w:eastAsia="黑体"/>
                <w:szCs w:val="21"/>
                <w:lang w:eastAsia="ja-JP"/>
              </w:rPr>
            </w:pPr>
          </w:p>
        </w:tc>
        <w:tc>
          <w:tcPr>
            <w:tcW w:w="1600" w:type="dxa"/>
            <w:vAlign w:val="center"/>
          </w:tcPr>
          <w:p>
            <w:pPr>
              <w:spacing w:before="40" w:after="40"/>
              <w:rPr>
                <w:rFonts w:eastAsia="黑体"/>
                <w:szCs w:val="21"/>
                <w:lang w:eastAsia="ja-JP"/>
              </w:rPr>
            </w:pPr>
          </w:p>
        </w:tc>
        <w:tc>
          <w:tcPr>
            <w:tcW w:w="627" w:type="dxa"/>
            <w:vAlign w:val="center"/>
          </w:tcPr>
          <w:p>
            <w:pPr>
              <w:spacing w:before="40" w:after="40"/>
              <w:rPr>
                <w:rFonts w:eastAsia="黑体"/>
                <w:szCs w:val="21"/>
                <w:lang w:eastAsia="ja-JP"/>
              </w:rPr>
            </w:pPr>
          </w:p>
        </w:tc>
        <w:tc>
          <w:tcPr>
            <w:tcW w:w="2446" w:type="dxa"/>
            <w:vAlign w:val="center"/>
          </w:tcPr>
          <w:p>
            <w:pPr>
              <w:spacing w:before="40" w:after="40"/>
              <w:rPr>
                <w:rFonts w:eastAsia="黑体"/>
                <w:szCs w:val="21"/>
                <w:lang w:eastAsia="ja-JP"/>
              </w:rPr>
            </w:pPr>
          </w:p>
        </w:tc>
        <w:tc>
          <w:tcPr>
            <w:tcW w:w="1178"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hAnsi="Times New Roman" w:eastAsia="Times New Roman" w:cs="Times New Roman"/>
                <w:b/>
                <w:color w:val="000000"/>
                <w:kern w:val="2"/>
                <w:sz w:val="21"/>
                <w:szCs w:val="21"/>
                <w:lang w:val="en-GB" w:eastAsia="zh-CN" w:bidi="ar-SA"/>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hAnsi="Times New Roman" w:eastAsia="Times New Roman" w:cs="Times New Roman"/>
                <w:b/>
                <w:color w:val="000000"/>
                <w:kern w:val="2"/>
                <w:sz w:val="21"/>
                <w:szCs w:val="21"/>
                <w:lang w:val="en-US" w:eastAsia="zh-CN" w:bidi="ar-SA"/>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hAnsi="宋体" w:eastAsia="Times New Roman" w:cs="Times New Roman"/>
                <w:b/>
                <w:color w:val="000000"/>
                <w:kern w:val="2"/>
                <w:sz w:val="21"/>
                <w:szCs w:val="21"/>
                <w:lang w:val="en-US" w:eastAsia="zh-CN" w:bidi="ar-SA"/>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highlight w:val="none"/>
                <w:u w:val="single"/>
              </w:rPr>
              <w:t>于2021年</w:t>
            </w:r>
            <w:r>
              <w:rPr>
                <w:rFonts w:hint="eastAsia" w:ascii="宋体" w:hAnsi="宋体"/>
                <w:b/>
                <w:color w:val="000000"/>
                <w:szCs w:val="21"/>
                <w:highlight w:val="none"/>
                <w:u w:val="single"/>
                <w:lang w:val="en-US" w:eastAsia="zh-CN"/>
              </w:rPr>
              <w:t>8</w:t>
            </w:r>
            <w:r>
              <w:rPr>
                <w:rFonts w:hint="eastAsia" w:ascii="宋体" w:hAnsi="宋体"/>
                <w:b/>
                <w:color w:val="000000"/>
                <w:szCs w:val="21"/>
                <w:highlight w:val="none"/>
                <w:u w:val="single"/>
              </w:rPr>
              <w:t>月1日</w:t>
            </w:r>
            <w:r>
              <w:rPr>
                <w:rFonts w:hint="eastAsia" w:ascii="宋体" w:hAnsi="宋体"/>
                <w:b/>
                <w:color w:val="000000"/>
                <w:szCs w:val="21"/>
                <w:highlight w:val="none"/>
              </w:rPr>
              <w:t>起按照标准的要求，建立了文件化的管理体系，对管理体系文件进行发布和对全员进行了贯彻</w:t>
            </w:r>
            <w:r>
              <w:rPr>
                <w:rFonts w:hint="eastAsia" w:ascii="宋体" w:hAnsi="宋体"/>
                <w:b/>
                <w:color w:val="000000"/>
                <w:szCs w:val="21"/>
              </w:rPr>
              <w:t>。管理体系已有效运行并且超过3个月。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11.已根据策划和标准要求于</w:t>
            </w:r>
            <w:r>
              <w:rPr>
                <w:rFonts w:hint="eastAsia"/>
                <w:color w:val="000000"/>
                <w:szCs w:val="18"/>
                <w:highlight w:val="none"/>
                <w:u w:val="single"/>
              </w:rPr>
              <w:t>2021年</w:t>
            </w:r>
            <w:r>
              <w:rPr>
                <w:rFonts w:hint="eastAsia"/>
                <w:color w:val="000000"/>
                <w:szCs w:val="18"/>
                <w:highlight w:val="none"/>
                <w:u w:val="single"/>
                <w:lang w:val="en-US" w:eastAsia="zh-CN"/>
              </w:rPr>
              <w:t>11</w:t>
            </w:r>
            <w:r>
              <w:rPr>
                <w:rFonts w:hint="eastAsia"/>
                <w:color w:val="000000"/>
                <w:szCs w:val="18"/>
                <w:highlight w:val="none"/>
              </w:rPr>
              <w:t>月</w:t>
            </w:r>
            <w:r>
              <w:rPr>
                <w:rFonts w:hint="eastAsia"/>
                <w:color w:val="000000"/>
                <w:szCs w:val="18"/>
                <w:highlight w:val="none"/>
                <w:lang w:val="en-US" w:eastAsia="zh-CN"/>
              </w:rPr>
              <w:t>0</w:t>
            </w:r>
            <w:bookmarkStart w:id="36" w:name="_GoBack"/>
            <w:bookmarkEnd w:id="36"/>
            <w:r>
              <w:rPr>
                <w:rFonts w:hint="eastAsia"/>
                <w:color w:val="000000"/>
                <w:szCs w:val="18"/>
                <w:highlight w:val="none"/>
                <w:u w:val="single"/>
                <w:lang w:val="en-US" w:eastAsia="zh-CN"/>
              </w:rPr>
              <w:t>2</w:t>
            </w:r>
            <w:r>
              <w:rPr>
                <w:rFonts w:hint="eastAsia"/>
                <w:color w:val="000000"/>
                <w:szCs w:val="18"/>
                <w:highlight w:val="none"/>
              </w:rPr>
              <w:t>日</w:t>
            </w:r>
            <w:r>
              <w:rPr>
                <w:rFonts w:hint="eastAsia" w:ascii="宋体" w:hAnsi="宋体"/>
                <w:b/>
                <w:color w:val="000000"/>
                <w:szCs w:val="21"/>
                <w:highlight w:val="none"/>
              </w:rPr>
              <w:t>由有能力的人实施了内部审核，覆盖所有场所、部门和过程，</w:t>
            </w:r>
            <w:r>
              <w:rPr>
                <w:rFonts w:hint="eastAsia" w:ascii="宋体" w:hAnsi="宋体"/>
                <w:b/>
                <w:color w:val="000000"/>
                <w:szCs w:val="21"/>
                <w:highlight w:val="none"/>
                <w:lang w:val="en-GB"/>
              </w:rPr>
              <w:t>组织通过内审验证了管理体系的</w:t>
            </w:r>
            <w:r>
              <w:rPr>
                <w:rFonts w:hint="eastAsia" w:ascii="宋体" w:hAnsi="宋体"/>
                <w:b/>
                <w:color w:val="000000"/>
                <w:szCs w:val="21"/>
                <w:highlight w:val="none"/>
              </w:rPr>
              <w:t>符合性</w:t>
            </w:r>
            <w:r>
              <w:rPr>
                <w:rFonts w:hint="eastAsia" w:ascii="宋体" w:hAnsi="宋体"/>
                <w:b/>
                <w:color w:val="000000"/>
                <w:szCs w:val="21"/>
                <w:highlight w:val="none"/>
                <w:lang w:val="en-GB"/>
              </w:rPr>
              <w:t>及有效性，</w:t>
            </w:r>
            <w:r>
              <w:rPr>
                <w:rFonts w:hint="eastAsia" w:ascii="宋体" w:hAnsi="宋体"/>
                <w:b/>
                <w:color w:val="000000"/>
                <w:szCs w:val="21"/>
                <w:highlight w:val="none"/>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highlight w:val="none"/>
                <w:lang w:val="en-GB" w:eastAsia="zh-CN"/>
              </w:rPr>
            </w:pPr>
            <w:r>
              <w:rPr>
                <w:rFonts w:hint="eastAsia" w:ascii="宋体" w:hAnsi="宋体" w:eastAsia="宋体"/>
                <w:color w:val="000000"/>
                <w:sz w:val="21"/>
                <w:szCs w:val="21"/>
                <w:highlight w:val="none"/>
                <w:lang w:val="en-US" w:eastAsia="zh-CN"/>
              </w:rPr>
              <w:t>12.已根据策划于</w:t>
            </w:r>
            <w:r>
              <w:rPr>
                <w:rFonts w:hint="eastAsia" w:eastAsia="宋体"/>
                <w:b w:val="0"/>
                <w:color w:val="000000"/>
                <w:sz w:val="21"/>
                <w:szCs w:val="18"/>
                <w:highlight w:val="none"/>
                <w:u w:val="single"/>
                <w:lang w:val="en-US" w:eastAsia="zh-CN"/>
              </w:rPr>
              <w:t xml:space="preserve"> 2021年11月12日完</w:t>
            </w:r>
            <w:r>
              <w:rPr>
                <w:rFonts w:hint="eastAsia" w:ascii="宋体" w:hAnsi="宋体" w:eastAsia="宋体"/>
                <w:color w:val="000000"/>
                <w:sz w:val="21"/>
                <w:szCs w:val="21"/>
                <w:highlight w:val="none"/>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9"/>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
        <w:gridCol w:w="1088"/>
        <w:gridCol w:w="239"/>
        <w:gridCol w:w="5626"/>
        <w:gridCol w:w="376"/>
        <w:gridCol w:w="627"/>
        <w:gridCol w:w="290"/>
        <w:gridCol w:w="1500"/>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72" w:type="dxa"/>
            <w:gridSpan w:val="8"/>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9772" w:type="dxa"/>
            <w:gridSpan w:val="8"/>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19"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gridSpan w:val="3"/>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7"/>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26" w:type="dxa"/>
          <w:cantSplit/>
          <w:trHeight w:val="57" w:hRule="atLeast"/>
        </w:trPr>
        <w:tc>
          <w:tcPr>
            <w:tcW w:w="9754" w:type="dxa"/>
            <w:gridSpan w:val="8"/>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9754" w:type="dxa"/>
            <w:gridSpan w:val="8"/>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gridSpan w:val="2"/>
            <w:shd w:val="clear" w:color="auto" w:fill="FFFF00"/>
          </w:tcPr>
          <w:p>
            <w:pPr>
              <w:rPr>
                <w:rFonts w:ascii="宋体" w:hAnsi="宋体"/>
                <w:color w:val="000000"/>
                <w:szCs w:val="21"/>
              </w:rPr>
            </w:pPr>
            <w:r>
              <w:rPr>
                <w:rFonts w:hint="eastAsia" w:ascii="宋体" w:hAnsi="宋体"/>
                <w:color w:val="000000"/>
                <w:szCs w:val="21"/>
              </w:rPr>
              <w:t>□是</w:t>
            </w:r>
          </w:p>
        </w:tc>
        <w:tc>
          <w:tcPr>
            <w:tcW w:w="1790" w:type="dxa"/>
            <w:gridSpan w:val="2"/>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gridSpan w:val="2"/>
            <w:shd w:val="clear" w:color="auto" w:fill="FFFF00"/>
          </w:tcPr>
          <w:p>
            <w:pPr>
              <w:rPr>
                <w:rFonts w:ascii="宋体" w:hAnsi="宋体"/>
                <w:color w:val="000000"/>
                <w:szCs w:val="21"/>
              </w:rPr>
            </w:pPr>
            <w:r>
              <w:rPr>
                <w:rFonts w:hint="eastAsia" w:ascii="宋体" w:hAnsi="宋体"/>
                <w:color w:val="000000"/>
                <w:szCs w:val="21"/>
              </w:rPr>
              <w:t>□是</w:t>
            </w:r>
          </w:p>
        </w:tc>
        <w:tc>
          <w:tcPr>
            <w:tcW w:w="1790" w:type="dxa"/>
            <w:gridSpan w:val="2"/>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5"/>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hAnsi="宋体"/>
                <w:color w:val="000000"/>
                <w:szCs w:val="21"/>
              </w:rPr>
              <w:t>□</w:t>
            </w:r>
            <w:r>
              <w:rPr>
                <w:rFonts w:hint="eastAsia" w:ascii="宋体"/>
                <w:color w:val="000000"/>
                <w:spacing w:val="-10"/>
                <w:szCs w:val="21"/>
              </w:rPr>
              <w:t>职业危害场所、□高风险作业场所，</w:t>
            </w:r>
            <w:r>
              <w:rPr>
                <w:rFonts w:hint="eastAsia" w:ascii="宋体" w:hAnsi="宋体"/>
                <w:color w:val="000000"/>
                <w:szCs w:val="21"/>
              </w:rPr>
              <w:t>□</w:t>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2021-12-1</w:t>
            </w:r>
            <w:bookmarkEnd w:id="35"/>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b/>
                <w:color w:val="000000"/>
                <w:szCs w:val="21"/>
              </w:rPr>
              <w:t>■</w:t>
            </w:r>
            <w:r>
              <w:rPr>
                <w:rFonts w:ascii="宋体" w:hAnsi="宋体"/>
                <w:b/>
                <w:color w:val="000000"/>
                <w:szCs w:val="21"/>
              </w:rPr>
              <w:t>EMS/</w:t>
            </w:r>
            <w:r>
              <w:rPr>
                <w:rFonts w:hint="eastAsia" w:ascii="宋体" w:hAnsi="宋体" w:eastAsia="宋体" w:cs="宋体"/>
                <w:b/>
                <w:color w:val="000000"/>
                <w:szCs w:val="21"/>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eastAsia="宋体" w:cs="宋体"/>
                <w:b/>
                <w:color w:val="000000"/>
                <w:spacing w:val="-10"/>
                <w:szCs w:val="21"/>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b/>
                <w:color w:val="000000"/>
                <w:spacing w:val="-10"/>
                <w:szCs w:val="21"/>
                <w:lang w:val="de-DE"/>
              </w:rPr>
              <w:t>■</w:t>
            </w:r>
            <w:r>
              <w:rPr>
                <w:rFonts w:ascii="宋体" w:hAnsi="宋体"/>
                <w:b/>
                <w:color w:val="000000"/>
                <w:szCs w:val="21"/>
              </w:rPr>
              <w:t>EMS/</w:t>
            </w:r>
            <w:r>
              <w:rPr>
                <w:rFonts w:hint="eastAsia" w:ascii="宋体" w:hAnsi="宋体" w:eastAsia="宋体" w:cs="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b/>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rPr>
                <w:sz w:val="20"/>
              </w:rPr>
              <w:t>减震器、阀门的销售所涉及场所的相关环境管理活动</w:t>
            </w:r>
          </w:p>
        </w:tc>
        <w:tc>
          <w:tcPr>
            <w:tcW w:w="1541" w:type="dxa"/>
            <w:vAlign w:val="center"/>
          </w:tcPr>
          <w:p>
            <w:pPr>
              <w:spacing w:line="400" w:lineRule="exact"/>
              <w:rPr>
                <w:rFonts w:ascii="宋体" w:hAnsi="宋体"/>
                <w:b/>
                <w:color w:val="000000"/>
                <w:szCs w:val="21"/>
              </w:rPr>
            </w:pPr>
            <w:r>
              <w:rPr>
                <w:sz w:val="20"/>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sz w:val="20"/>
              </w:rPr>
              <w:t>减震器、阀门的销售所涉及场所的相关职业健康安全管理活动</w:t>
            </w:r>
          </w:p>
        </w:tc>
        <w:tc>
          <w:tcPr>
            <w:tcW w:w="1541" w:type="dxa"/>
            <w:vAlign w:val="center"/>
          </w:tcPr>
          <w:p>
            <w:pPr>
              <w:spacing w:line="400" w:lineRule="exact"/>
              <w:rPr>
                <w:rFonts w:ascii="宋体" w:hAnsi="宋体"/>
                <w:b/>
                <w:color w:val="000000"/>
                <w:szCs w:val="21"/>
              </w:rPr>
            </w:pPr>
            <w:r>
              <w:rPr>
                <w:sz w:val="20"/>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03" w:firstLineChars="400"/>
        <w:rPr>
          <w:rFonts w:ascii="宋体"/>
          <w:b/>
          <w:color w:val="000000"/>
          <w:szCs w:val="21"/>
        </w:rPr>
      </w:pPr>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1864995</wp:posOffset>
            </wp:positionH>
            <wp:positionV relativeFrom="paragraph">
              <wp:posOffset>29845</wp:posOffset>
            </wp:positionV>
            <wp:extent cx="553085" cy="278765"/>
            <wp:effectExtent l="0" t="0" r="5715" b="635"/>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553085" cy="278765"/>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2021.12.13</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受审核方：松江机电集团有限公司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b/>
                <w:kern w:val="0"/>
                <w:sz w:val="20"/>
                <w:szCs w:val="20"/>
              </w:rPr>
              <w:drawing>
                <wp:anchor distT="0" distB="0" distL="114300" distR="114300" simplePos="0" relativeHeight="251663360" behindDoc="0" locked="0" layoutInCell="1" allowOverlap="1">
                  <wp:simplePos x="0" y="0"/>
                  <wp:positionH relativeFrom="column">
                    <wp:posOffset>721995</wp:posOffset>
                  </wp:positionH>
                  <wp:positionV relativeFrom="paragraph">
                    <wp:posOffset>44450</wp:posOffset>
                  </wp:positionV>
                  <wp:extent cx="553085" cy="278765"/>
                  <wp:effectExtent l="0" t="0" r="5715" b="635"/>
                  <wp:wrapNone/>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6"/>
                          <a:stretch>
                            <a:fillRect/>
                          </a:stretch>
                        </pic:blipFill>
                        <pic:spPr>
                          <a:xfrm>
                            <a:off x="0" y="0"/>
                            <a:ext cx="553085" cy="27876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color w:val="000000"/>
              </w:rPr>
              <w:t>2021年12月13日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color w:val="000000"/>
              </w:rPr>
              <w:t>2021年12月13日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b/>
                <w:kern w:val="0"/>
                <w:sz w:val="20"/>
                <w:szCs w:val="20"/>
              </w:rPr>
              <w:drawing>
                <wp:anchor distT="0" distB="0" distL="114300" distR="114300" simplePos="0" relativeHeight="251664384" behindDoc="0" locked="0" layoutInCell="1" allowOverlap="1">
                  <wp:simplePos x="0" y="0"/>
                  <wp:positionH relativeFrom="column">
                    <wp:posOffset>675640</wp:posOffset>
                  </wp:positionH>
                  <wp:positionV relativeFrom="paragraph">
                    <wp:posOffset>106045</wp:posOffset>
                  </wp:positionV>
                  <wp:extent cx="553085" cy="278765"/>
                  <wp:effectExtent l="0" t="0" r="5715" b="635"/>
                  <wp:wrapNone/>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6"/>
                          <a:stretch>
                            <a:fillRect/>
                          </a:stretch>
                        </pic:blipFill>
                        <pic:spPr>
                          <a:xfrm>
                            <a:off x="0" y="0"/>
                            <a:ext cx="553085" cy="27876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color w:val="000000"/>
              </w:rPr>
              <w:t>2021年12月13日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9D36914"/>
    <w:rsid w:val="753E4A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2021-12-11T12:28:58Z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