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0507-2019-Q-2021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重庆碟霸机械科技有限公司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重庆碟霸机械科技有限公司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重庆市九龙坡区白市驿镇三多桥村8社15号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重庆市九龙坡区白市驿镇三多桥村8社15号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代玲</w:t>
            </w:r>
            <w:bookmarkEnd w:id="10"/>
          </w:p>
        </w:tc>
        <w:tc>
          <w:tcPr>
            <w:tcW w:w="1313" w:type="dxa"/>
            <w:vAlign w:val="center"/>
          </w:tcPr>
          <w:p>
            <w:r>
              <w:rPr>
                <w:rFonts w:hint="eastAsia"/>
              </w:rPr>
              <w:t>电话.</w:t>
            </w:r>
          </w:p>
        </w:tc>
        <w:tc>
          <w:tcPr>
            <w:tcW w:w="2180" w:type="dxa"/>
            <w:vAlign w:val="center"/>
          </w:tcPr>
          <w:p>
            <w:bookmarkStart w:id="11" w:name="联系人电话"/>
            <w:r>
              <w:t>023-65511286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代玲</w:t>
            </w:r>
            <w:bookmarkEnd w:id="13"/>
          </w:p>
        </w:tc>
        <w:tc>
          <w:tcPr>
            <w:tcW w:w="1313" w:type="dxa"/>
            <w:vAlign w:val="center"/>
          </w:tcPr>
          <w:p>
            <w:r>
              <w:rPr>
                <w:rFonts w:hint="eastAsia"/>
              </w:rPr>
              <w:t>管理者代表</w:t>
            </w:r>
          </w:p>
        </w:tc>
        <w:tc>
          <w:tcPr>
            <w:tcW w:w="2180" w:type="dxa"/>
          </w:tcPr>
          <w:p>
            <w:bookmarkStart w:id="14" w:name="管理者代表"/>
            <w:r>
              <w:t>代玲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rPr>
              <w:t>三轮摩托车制动系统总成的生产</w:t>
            </w:r>
            <w:r>
              <w:rPr>
                <w:rFonts w:hint="eastAsia" w:ascii="Times New Roman" w:hAnsi="Times New Roman" w:eastAsia="宋体" w:cs="Times New Roman"/>
                <w:lang w:eastAsia="zh-CN"/>
              </w:rPr>
              <w:t>流程</w:t>
            </w:r>
          </w:p>
          <w:p>
            <w:r>
              <w:rPr>
                <w:rFonts w:hint="eastAsia" w:ascii="Times New Roman" w:hAnsi="Times New Roman" w:eastAsia="宋体" w:cs="Times New Roman"/>
                <w:lang w:val="en-US" w:eastAsia="zh-CN"/>
              </w:rPr>
              <w:t>采购坯件—</w:t>
            </w:r>
            <w:r>
              <w:rPr>
                <w:rFonts w:hint="eastAsia" w:cs="Times New Roman"/>
                <w:lang w:val="en-US" w:eastAsia="zh-CN"/>
              </w:rPr>
              <w:t>机加（</w:t>
            </w:r>
            <w:r>
              <w:rPr>
                <w:rFonts w:hint="eastAsia" w:ascii="Times New Roman" w:hAnsi="Times New Roman" w:eastAsia="宋体" w:cs="Times New Roman"/>
                <w:lang w:val="en-US" w:eastAsia="zh-CN"/>
              </w:rPr>
              <w:t>打孔、倒角、铣</w:t>
            </w:r>
            <w:r>
              <w:rPr>
                <w:rFonts w:hint="eastAsia" w:cs="Times New Roman"/>
                <w:lang w:val="en-US" w:eastAsia="zh-CN"/>
              </w:rPr>
              <w:t>）</w:t>
            </w:r>
            <w:r>
              <w:rPr>
                <w:rFonts w:hint="eastAsia" w:ascii="Times New Roman" w:hAnsi="Times New Roman" w:eastAsia="宋体" w:cs="Times New Roman"/>
                <w:lang w:val="en-US" w:eastAsia="zh-CN"/>
              </w:rPr>
              <w:t>—喷涂（外协）—组装—成品检验—包装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2021年12月15日 上午至2021年12月15日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三轮摩托车制动系统总成的生产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22.05.01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宋体"/>
                <w:color w:val="000000"/>
                <w:kern w:val="0"/>
                <w:sz w:val="21"/>
                <w:szCs w:val="21"/>
                <w:lang w:eastAsia="zh-CN"/>
              </w:rPr>
              <w:t>2018年5月11日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color w:val="000000"/>
                <w:szCs w:val="21"/>
              </w:rPr>
              <w:t xml:space="preserve"> </w:t>
            </w:r>
            <w:r>
              <w:rPr>
                <w:rFonts w:hint="eastAsia"/>
                <w:color w:val="000000"/>
                <w:szCs w:val="21"/>
              </w:rPr>
              <w:t xml:space="preserve">2021年01月20日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w:t>
            </w:r>
            <w:r>
              <w:rPr>
                <w:rFonts w:hint="eastAsia" w:ascii="Times New Roman" w:hAnsi="Times New Roman" w:eastAsia="宋体" w:cs="Times New Roman"/>
              </w:rPr>
              <w:t>至</w:t>
            </w:r>
            <w:r>
              <w:rPr>
                <w:rFonts w:hint="eastAsia" w:ascii="Times New Roman" w:hAnsi="Times New Roman" w:eastAsia="宋体" w:cs="Times New Roman"/>
                <w:lang w:val="en-US" w:eastAsia="zh-CN"/>
              </w:rPr>
              <w:t>2022年11月06日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重庆碟霸机械科技有限公司</w:t>
            </w:r>
            <w:r>
              <w:rPr>
                <w:rFonts w:hint="eastAsia"/>
                <w:sz w:val="21"/>
                <w:szCs w:val="21"/>
                <w:lang w:val="en-US" w:eastAsia="zh-CN"/>
              </w:rPr>
              <w:t>/</w:t>
            </w:r>
            <w:r>
              <w:rPr>
                <w:rFonts w:asciiTheme="minorEastAsia" w:hAnsiTheme="minorEastAsia" w:eastAsiaTheme="minorEastAsia"/>
                <w:sz w:val="20"/>
              </w:rPr>
              <w:t>重庆市九龙坡区白市驿镇三多桥村8社15号</w:t>
            </w:r>
          </w:p>
        </w:tc>
        <w:tc>
          <w:tcPr>
            <w:tcW w:w="2267" w:type="dxa"/>
          </w:tcPr>
          <w:p>
            <w:pPr>
              <w:rPr>
                <w:lang w:val="de-DE" w:eastAsia="ja-JP"/>
              </w:rPr>
            </w:pPr>
            <w:r>
              <w:rPr>
                <w:rFonts w:asciiTheme="minorEastAsia" w:hAnsiTheme="minorEastAsia" w:eastAsiaTheme="minorEastAsia"/>
                <w:sz w:val="20"/>
              </w:rPr>
              <w:t>重庆市九龙坡区白市驿镇三多桥村8社15号</w:t>
            </w:r>
          </w:p>
        </w:tc>
        <w:tc>
          <w:tcPr>
            <w:tcW w:w="571" w:type="dxa"/>
            <w:vAlign w:val="center"/>
          </w:tcPr>
          <w:p>
            <w:pPr>
              <w:rPr>
                <w:lang w:eastAsia="ja-JP"/>
              </w:rPr>
            </w:pPr>
            <w:bookmarkStart w:id="31" w:name="体系人数"/>
            <w:r>
              <w:rPr>
                <w:color w:val="000000"/>
                <w:szCs w:val="21"/>
              </w:rPr>
              <w:t>20</w:t>
            </w:r>
            <w:bookmarkEnd w:id="31"/>
          </w:p>
        </w:tc>
        <w:tc>
          <w:tcPr>
            <w:tcW w:w="2803" w:type="dxa"/>
            <w:vAlign w:val="center"/>
          </w:tcPr>
          <w:p>
            <w:pPr>
              <w:rPr>
                <w:lang w:eastAsia="ja-JP"/>
              </w:rPr>
            </w:pPr>
            <w:r>
              <w:rPr>
                <w:sz w:val="20"/>
              </w:rPr>
              <w:t>三轮摩托车制动系统总成的生产</w:t>
            </w:r>
          </w:p>
        </w:tc>
        <w:tc>
          <w:tcPr>
            <w:tcW w:w="669" w:type="dxa"/>
            <w:vAlign w:val="center"/>
          </w:tcPr>
          <w:p>
            <w:pPr>
              <w:rPr>
                <w:lang w:eastAsia="ja-JP"/>
              </w:rPr>
            </w:pPr>
            <w:r>
              <w:rPr>
                <w:rFonts w:hint="eastAsia" w:ascii="宋体" w:hAnsi="宋体"/>
              </w:rPr>
              <w:t>GB/T19001-2016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变更内容</w:t>
            </w:r>
          </w:p>
        </w:tc>
        <w:tc>
          <w:tcPr>
            <w:tcW w:w="7412" w:type="dxa"/>
          </w:tcPr>
          <w:p>
            <w:pPr>
              <w:rPr>
                <w:color w:val="000000" w:themeColor="text1"/>
              </w:rPr>
            </w:pPr>
            <w:r>
              <w:rPr>
                <w:rFonts w:hint="eastAsia"/>
                <w:color w:val="000000" w:themeColor="text1"/>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主要负责人变更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注册地址变更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经营地址变更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多场所地址变更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临时场所地址变更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认证范围变更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rPr>
            </w:pPr>
            <w:r>
              <w:rPr>
                <w:rFonts w:hint="eastAsia"/>
                <w:color w:val="000000" w:themeColor="text1"/>
              </w:rPr>
              <w:t>体系员工人数较大变更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设备设施重大变更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产品/工艺重大变更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其他</w:t>
            </w:r>
          </w:p>
        </w:tc>
        <w:tc>
          <w:tcPr>
            <w:tcW w:w="7412" w:type="dxa"/>
          </w:tcPr>
          <w:p>
            <w:pPr>
              <w:rPr>
                <w:color w:val="000000" w:themeColor="text1"/>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cs="Times New Roman"/>
                <w:kern w:val="2"/>
                <w:sz w:val="21"/>
                <w:szCs w:val="24"/>
                <w:lang w:val="en-US" w:eastAsia="zh-CN" w:bidi="ar-SA"/>
              </w:rPr>
              <w:t>上次不符合项分布在生产部涉及8.5.2条款，经本次审核验证未再出现类似的不符合情况。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名片，</w:t>
            </w:r>
            <w:r>
              <w:rPr>
                <w:rFonts w:hint="eastAsia"/>
                <w:lang w:eastAsia="zh-CN"/>
              </w:rPr>
              <w:t>产品包装、标书</w:t>
            </w:r>
            <w:r>
              <w:rPr>
                <w:rFonts w:hint="eastAsia"/>
              </w:rPr>
              <w:t>等）</w:t>
            </w:r>
          </w:p>
        </w:tc>
      </w:tr>
    </w:tbl>
    <w:p/>
    <w:p>
      <w:r>
        <w:rPr>
          <w:rFonts w:hint="eastAsia"/>
        </w:rPr>
        <w:t>八、已识别出的任何未解决的问题：</w:t>
      </w:r>
    </w:p>
    <w:p>
      <w:pPr>
        <w:rPr>
          <w:rFonts w:hint="eastAsia" w:eastAsia="宋体"/>
          <w:lang w:eastAsia="zh-CN"/>
        </w:rPr>
      </w:pP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pPr>
        <w:pStyle w:val="2"/>
      </w:pPr>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8"/>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4"/>
        <w:gridCol w:w="2764"/>
        <w:gridCol w:w="2764"/>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404"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2336" behindDoc="0" locked="0" layoutInCell="1" allowOverlap="1">
                  <wp:simplePos x="0" y="0"/>
                  <wp:positionH relativeFrom="column">
                    <wp:posOffset>247015</wp:posOffset>
                  </wp:positionH>
                  <wp:positionV relativeFrom="paragraph">
                    <wp:posOffset>21590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3026" w:type="dxa"/>
            <w:tcMar>
              <w:left w:w="113" w:type="dxa"/>
            </w:tcMar>
            <w:vAlign w:val="center"/>
          </w:tcPr>
          <w:p>
            <w:pPr>
              <w:rPr>
                <w:rFonts w:ascii="宋体"/>
                <w:b/>
                <w:color w:val="0000FF"/>
                <w:szCs w:val="21"/>
              </w:rPr>
            </w:pPr>
            <w:r>
              <w:rPr>
                <w:rFonts w:hint="eastAsia"/>
                <w:b/>
                <w:sz w:val="20"/>
              </w:rPr>
              <w:t>2021年12月15日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rPr>
                <w:highlight w:val="none"/>
              </w:rPr>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ascii="宋体" w:hAnsi="宋体" w:cs="宋体"/>
                <w:color w:val="auto"/>
                <w:szCs w:val="24"/>
                <w:highlight w:val="none"/>
                <w:lang w:eastAsia="zh-CN"/>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ascii="宋体" w:hAnsi="宋体" w:cs="宋体"/>
                <w:color w:val="auto"/>
                <w:szCs w:val="24"/>
                <w:highlight w:val="none"/>
                <w:lang w:eastAsia="zh-CN"/>
              </w:rPr>
              <w:t>喷涂（外协）</w:t>
            </w:r>
          </w:p>
          <w:p>
            <w:pPr>
              <w:shd w:val="clear" w:color="auto" w:fill="C7DAF1" w:themeFill="text2" w:themeFillTint="32"/>
              <w:spacing w:before="40" w:after="40"/>
              <w:rPr>
                <w:highlight w:val="none"/>
              </w:rPr>
            </w:pPr>
            <w:r>
              <w:rPr>
                <w:rFonts w:hint="eastAsia"/>
                <w:highlight w:val="none"/>
              </w:rPr>
              <w:t xml:space="preserve">□新产品设计开发 □原材料订制 </w:t>
            </w:r>
            <w:r>
              <w:rPr>
                <w:rFonts w:hint="eastAsia"/>
                <w:highlight w:val="none"/>
                <w:lang w:eastAsia="zh-CN"/>
              </w:rPr>
              <w:t>☑</w:t>
            </w:r>
            <w:r>
              <w:rPr>
                <w:rFonts w:hint="eastAsia"/>
                <w:highlight w:val="none"/>
              </w:rPr>
              <w:t>生产/服务过程 □检验检测 □产品运输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2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最高管理者制定了文件化的管理体系方针：质量为本、信誉至上，持续改进，争创一流</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699"/>
              <w:gridCol w:w="1046"/>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628"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69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46"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2078" w:type="dxa"/>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目标实际完成（2021.1月-11月）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vAlign w:val="center"/>
                </w:tcPr>
                <w:p>
                  <w:pPr>
                    <w:spacing w:line="360" w:lineRule="auto"/>
                    <w:jc w:val="left"/>
                    <w:rPr>
                      <w:rFonts w:ascii="Times New Roman" w:hAnsi="Times New Roman" w:eastAsia="宋体" w:cs="Times New Roman"/>
                      <w:color w:val="000000" w:themeColor="text1"/>
                      <w:kern w:val="2"/>
                      <w:sz w:val="21"/>
                      <w:szCs w:val="24"/>
                      <w:highlight w:val="yellow"/>
                      <w:lang w:val="en-US" w:eastAsia="zh-CN" w:bidi="ar-SA"/>
                    </w:rPr>
                  </w:pPr>
                  <w:r>
                    <w:rPr>
                      <w:rFonts w:hint="eastAsia" w:ascii="宋体" w:hAnsi="宋体" w:cs="宋体"/>
                      <w:color w:val="auto"/>
                      <w:szCs w:val="24"/>
                      <w:lang w:eastAsia="zh-CN"/>
                    </w:rPr>
                    <w:t>客户</w:t>
                  </w:r>
                  <w:r>
                    <w:rPr>
                      <w:rFonts w:hint="eastAsia" w:ascii="宋体" w:hAnsi="宋体" w:cs="宋体"/>
                      <w:color w:val="auto"/>
                      <w:szCs w:val="24"/>
                    </w:rPr>
                    <w:t>满意率95%以上</w:t>
                  </w:r>
                </w:p>
              </w:tc>
              <w:tc>
                <w:tcPr>
                  <w:tcW w:w="2699" w:type="dxa"/>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themeColor="text1"/>
                      <w:kern w:val="2"/>
                      <w:sz w:val="21"/>
                      <w:szCs w:val="24"/>
                      <w:highlight w:val="none"/>
                      <w:lang w:val="en-GB" w:eastAsia="zh-CN" w:bidi="ar-SA"/>
                    </w:rPr>
                  </w:pPr>
                  <w:r>
                    <w:rPr>
                      <w:rFonts w:hint="eastAsia" w:ascii="宋体" w:hAnsi="宋体" w:eastAsia="宋体" w:cs="宋体"/>
                      <w:i w:val="0"/>
                      <w:iCs w:val="0"/>
                      <w:color w:val="000000"/>
                      <w:kern w:val="0"/>
                      <w:sz w:val="20"/>
                      <w:szCs w:val="20"/>
                      <w:highlight w:val="none"/>
                      <w:u w:val="none"/>
                      <w:lang w:val="en-US" w:eastAsia="zh-CN" w:bidi="ar"/>
                    </w:rPr>
                    <w:t>调查客户总分/客户数量</w:t>
                  </w:r>
                </w:p>
              </w:tc>
              <w:tc>
                <w:tcPr>
                  <w:tcW w:w="1046" w:type="dxa"/>
                  <w:shd w:val="clear" w:color="auto" w:fill="auto"/>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GB" w:eastAsia="zh-CN" w:bidi="ar-SA"/>
                    </w:rPr>
                  </w:pPr>
                  <w:r>
                    <w:rPr>
                      <w:rFonts w:hint="eastAsia" w:ascii="宋体" w:hAnsi="宋体" w:cs="宋体"/>
                      <w:color w:val="000000"/>
                      <w:kern w:val="0"/>
                      <w:highlight w:val="none"/>
                    </w:rPr>
                    <w:t>供销部</w:t>
                  </w:r>
                </w:p>
              </w:tc>
              <w:tc>
                <w:tcPr>
                  <w:tcW w:w="207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8" w:type="dxa"/>
                  <w:shd w:val="clear" w:color="auto" w:fill="auto"/>
                  <w:vAlign w:val="center"/>
                </w:tcPr>
                <w:p>
                  <w:pPr>
                    <w:keepNext w:val="0"/>
                    <w:keepLines w:val="0"/>
                    <w:widowControl/>
                    <w:suppressLineNumbers w:val="0"/>
                    <w:jc w:val="both"/>
                    <w:textAlignment w:val="center"/>
                    <w:rPr>
                      <w:rFonts w:ascii="Times New Roman" w:hAnsi="Times New Roman" w:eastAsia="宋体" w:cs="Times New Roman"/>
                      <w:color w:val="000000" w:themeColor="text1"/>
                      <w:kern w:val="2"/>
                      <w:sz w:val="21"/>
                      <w:szCs w:val="24"/>
                      <w:highlight w:val="yellow"/>
                      <w:lang w:val="en-US" w:eastAsia="zh-CN" w:bidi="ar-SA"/>
                    </w:rPr>
                  </w:pPr>
                  <w:r>
                    <w:rPr>
                      <w:rFonts w:hint="eastAsia" w:ascii="宋体" w:hAnsi="宋体" w:cs="宋体"/>
                      <w:color w:val="auto"/>
                      <w:szCs w:val="24"/>
                    </w:rPr>
                    <w:t>产品一次</w:t>
                  </w:r>
                  <w:r>
                    <w:rPr>
                      <w:rFonts w:hint="eastAsia" w:ascii="宋体" w:hAnsi="宋体" w:cs="宋体"/>
                      <w:color w:val="auto"/>
                      <w:szCs w:val="24"/>
                      <w:lang w:eastAsia="zh-CN"/>
                    </w:rPr>
                    <w:t>检验</w:t>
                  </w:r>
                  <w:r>
                    <w:rPr>
                      <w:rFonts w:hint="eastAsia" w:ascii="宋体" w:hAnsi="宋体" w:cs="宋体"/>
                      <w:color w:val="auto"/>
                      <w:szCs w:val="24"/>
                    </w:rPr>
                    <w:t>合格率</w:t>
                  </w:r>
                  <w:r>
                    <w:rPr>
                      <w:rFonts w:hint="eastAsia" w:ascii="宋体" w:hAnsi="宋体" w:cs="宋体"/>
                      <w:color w:val="auto"/>
                      <w:szCs w:val="24"/>
                      <w:lang w:eastAsia="zh-CN"/>
                    </w:rPr>
                    <w:t>＞98%</w:t>
                  </w:r>
                </w:p>
              </w:tc>
              <w:tc>
                <w:tcPr>
                  <w:tcW w:w="2699" w:type="dxa"/>
                  <w:shd w:val="clear" w:color="auto" w:fill="auto"/>
                  <w:vAlign w:val="center"/>
                </w:tcPr>
                <w:p>
                  <w:pPr>
                    <w:keepNext w:val="0"/>
                    <w:keepLines w:val="0"/>
                    <w:widowControl/>
                    <w:suppressLineNumbers w:val="0"/>
                    <w:jc w:val="left"/>
                    <w:textAlignment w:val="center"/>
                    <w:rPr>
                      <w:rFonts w:ascii="宋体" w:hAnsi="宋体" w:eastAsia="宋体" w:cs="Times New Roman"/>
                      <w:color w:val="000000" w:themeColor="text1"/>
                      <w:kern w:val="2"/>
                      <w:sz w:val="21"/>
                      <w:szCs w:val="24"/>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产品合格数/</w:t>
                  </w:r>
                  <w:r>
                    <w:rPr>
                      <w:rFonts w:hint="eastAsia" w:ascii="宋体" w:hAnsi="宋体" w:cs="宋体"/>
                      <w:i w:val="0"/>
                      <w:iCs w:val="0"/>
                      <w:color w:val="000000"/>
                      <w:kern w:val="0"/>
                      <w:sz w:val="20"/>
                      <w:szCs w:val="20"/>
                      <w:highlight w:val="none"/>
                      <w:u w:val="none"/>
                      <w:lang w:val="en-US" w:eastAsia="zh-CN" w:bidi="ar"/>
                    </w:rPr>
                    <w:t>交验</w:t>
                  </w:r>
                  <w:r>
                    <w:rPr>
                      <w:rFonts w:hint="eastAsia" w:ascii="宋体" w:hAnsi="宋体" w:eastAsia="宋体" w:cs="宋体"/>
                      <w:i w:val="0"/>
                      <w:iCs w:val="0"/>
                      <w:color w:val="000000"/>
                      <w:kern w:val="0"/>
                      <w:sz w:val="20"/>
                      <w:szCs w:val="20"/>
                      <w:highlight w:val="none"/>
                      <w:u w:val="none"/>
                      <w:lang w:val="en-US" w:eastAsia="zh-CN" w:bidi="ar"/>
                    </w:rPr>
                    <w:t>总数*100%</w:t>
                  </w:r>
                </w:p>
              </w:tc>
              <w:tc>
                <w:tcPr>
                  <w:tcW w:w="1046"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eastAsia="宋体" w:cs="Times New Roman"/>
                      <w:color w:val="000000" w:themeColor="text1"/>
                      <w:kern w:val="2"/>
                      <w:sz w:val="21"/>
                      <w:szCs w:val="24"/>
                      <w:highlight w:val="none"/>
                      <w:lang w:val="en-US" w:eastAsia="zh-CN" w:bidi="ar-SA"/>
                    </w:rPr>
                    <w:t>技质部</w:t>
                  </w:r>
                </w:p>
              </w:tc>
              <w:tc>
                <w:tcPr>
                  <w:tcW w:w="207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8" w:type="dxa"/>
                  <w:shd w:val="clear" w:color="auto" w:fill="auto"/>
                  <w:vAlign w:val="top"/>
                </w:tcPr>
                <w:p>
                  <w:pPr>
                    <w:shd w:val="clear" w:color="auto" w:fill="C7DAF1" w:themeFill="text2" w:themeFillTint="32"/>
                    <w:rPr>
                      <w:rFonts w:ascii="Times New Roman" w:hAnsi="Times New Roman" w:eastAsia="宋体" w:cs="Times New Roman"/>
                      <w:color w:val="000000" w:themeColor="text1"/>
                      <w:kern w:val="2"/>
                      <w:sz w:val="21"/>
                      <w:szCs w:val="24"/>
                      <w:highlight w:val="yellow"/>
                      <w:lang w:val="en-US" w:eastAsia="zh-CN" w:bidi="ar-SA"/>
                    </w:rPr>
                  </w:pPr>
                  <w:r>
                    <w:rPr>
                      <w:rFonts w:hint="eastAsia" w:ascii="宋体" w:hAnsi="宋体" w:cs="宋体"/>
                      <w:color w:val="auto"/>
                      <w:szCs w:val="24"/>
                      <w:lang w:eastAsia="zh-CN"/>
                    </w:rPr>
                    <w:t>客户质量问题反馈率＜0.5%</w:t>
                  </w:r>
                </w:p>
              </w:tc>
              <w:tc>
                <w:tcPr>
                  <w:tcW w:w="2699" w:type="dxa"/>
                  <w:shd w:val="clear" w:color="auto" w:fill="auto"/>
                  <w:vAlign w:val="center"/>
                </w:tcPr>
                <w:p>
                  <w:pPr>
                    <w:shd w:val="clear" w:color="auto" w:fill="C7DAF1" w:themeFill="text2" w:themeFillTint="32"/>
                    <w:rPr>
                      <w:rFonts w:ascii="宋体" w:hAnsi="宋体" w:eastAsia="宋体" w:cs="Times New Roman"/>
                      <w:color w:val="000000" w:themeColor="text1"/>
                      <w:kern w:val="2"/>
                      <w:sz w:val="21"/>
                      <w:szCs w:val="24"/>
                      <w:highlight w:val="none"/>
                      <w:lang w:val="en-US" w:eastAsia="zh-CN" w:bidi="ar-SA"/>
                    </w:rPr>
                  </w:pPr>
                  <w:r>
                    <w:rPr>
                      <w:rFonts w:hint="eastAsia" w:ascii="宋体" w:hAnsi="宋体" w:cs="宋体"/>
                      <w:color w:val="auto"/>
                      <w:szCs w:val="24"/>
                      <w:lang w:eastAsia="zh-CN"/>
                    </w:rPr>
                    <w:t>客户质量问</w:t>
                  </w:r>
                  <w:r>
                    <w:rPr>
                      <w:rFonts w:hint="eastAsia" w:ascii="宋体" w:hAnsi="宋体" w:eastAsia="宋体" w:cs="宋体"/>
                      <w:color w:val="auto"/>
                      <w:szCs w:val="24"/>
                      <w:lang w:eastAsia="zh-CN"/>
                    </w:rPr>
                    <w:t>题反馈</w:t>
                  </w:r>
                  <w:r>
                    <w:rPr>
                      <w:rFonts w:hint="eastAsia" w:ascii="宋体" w:hAnsi="宋体" w:eastAsia="宋体" w:cs="宋体"/>
                      <w:color w:val="auto"/>
                      <w:szCs w:val="24"/>
                      <w:lang w:val="en-US" w:eastAsia="zh-CN"/>
                    </w:rPr>
                    <w:t>数</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客户</w:t>
                  </w:r>
                  <w:r>
                    <w:rPr>
                      <w:rFonts w:hint="eastAsia" w:ascii="宋体" w:hAnsi="宋体" w:eastAsia="宋体" w:cs="宋体"/>
                      <w:i w:val="0"/>
                      <w:iCs w:val="0"/>
                      <w:color w:val="000000"/>
                      <w:kern w:val="0"/>
                      <w:sz w:val="20"/>
                      <w:szCs w:val="20"/>
                      <w:highlight w:val="none"/>
                      <w:u w:val="none"/>
                      <w:lang w:val="en-US" w:eastAsia="zh-CN" w:bidi="ar"/>
                    </w:rPr>
                    <w:t>总数*100%</w:t>
                  </w:r>
                </w:p>
              </w:tc>
              <w:tc>
                <w:tcPr>
                  <w:tcW w:w="1046" w:type="dxa"/>
                  <w:shd w:val="clear" w:color="auto" w:fill="auto"/>
                  <w:vAlign w:val="center"/>
                </w:tcPr>
                <w:p>
                  <w:pPr>
                    <w:shd w:val="clear" w:color="auto" w:fill="C7DAF1" w:themeFill="text2" w:themeFillTint="32"/>
                    <w:rPr>
                      <w:rFonts w:hint="eastAsia" w:ascii="宋体" w:hAnsi="宋体" w:eastAsia="宋体" w:cs="Times New Roman"/>
                      <w:color w:val="000000" w:themeColor="text1"/>
                      <w:kern w:val="2"/>
                      <w:sz w:val="21"/>
                      <w:szCs w:val="24"/>
                      <w:highlight w:val="none"/>
                      <w:lang w:val="en-US" w:eastAsia="zh-CN" w:bidi="ar-SA"/>
                    </w:rPr>
                  </w:pPr>
                  <w:r>
                    <w:rPr>
                      <w:rFonts w:hint="eastAsia" w:ascii="宋体" w:hAnsi="宋体" w:eastAsia="宋体" w:cs="Times New Roman"/>
                      <w:color w:val="000000" w:themeColor="text1"/>
                      <w:kern w:val="2"/>
                      <w:sz w:val="21"/>
                      <w:szCs w:val="24"/>
                      <w:highlight w:val="none"/>
                      <w:lang w:val="en-US" w:eastAsia="zh-CN" w:bidi="ar-SA"/>
                    </w:rPr>
                    <w:t>供销部</w:t>
                  </w:r>
                </w:p>
              </w:tc>
              <w:tc>
                <w:tcPr>
                  <w:tcW w:w="207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8" w:type="dxa"/>
                  <w:shd w:val="clear" w:color="auto" w:fill="auto"/>
                </w:tcPr>
                <w:p>
                  <w:pPr>
                    <w:shd w:val="clear" w:color="auto" w:fill="C7DAF1" w:themeFill="text2" w:themeFillTint="32"/>
                  </w:pPr>
                </w:p>
              </w:tc>
              <w:tc>
                <w:tcPr>
                  <w:tcW w:w="2699" w:type="dxa"/>
                  <w:shd w:val="clear" w:color="auto" w:fill="auto"/>
                  <w:vAlign w:val="center"/>
                </w:tcPr>
                <w:p>
                  <w:pPr>
                    <w:shd w:val="clear" w:color="auto" w:fill="C7DAF1" w:themeFill="text2" w:themeFillTint="32"/>
                    <w:rPr>
                      <w:rFonts w:ascii="宋体" w:hAnsi="宋体"/>
                    </w:rPr>
                  </w:pPr>
                </w:p>
              </w:tc>
              <w:tc>
                <w:tcPr>
                  <w:tcW w:w="1046" w:type="dxa"/>
                  <w:shd w:val="clear" w:color="auto" w:fill="auto"/>
                  <w:vAlign w:val="center"/>
                </w:tcPr>
                <w:p>
                  <w:pPr>
                    <w:shd w:val="clear" w:color="auto" w:fill="C7DAF1" w:themeFill="text2" w:themeFillTint="32"/>
                    <w:rPr>
                      <w:rFonts w:ascii="宋体" w:hAnsi="宋体"/>
                    </w:rPr>
                  </w:pPr>
                </w:p>
              </w:tc>
              <w:tc>
                <w:tcPr>
                  <w:tcW w:w="2078"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w:t>
            </w:r>
            <w:bookmarkStart w:id="35" w:name="_GoBack"/>
            <w:bookmarkEnd w:id="35"/>
            <w:r>
              <w:t>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ascii="宋体" w:hAnsi="宋体"/>
                <w:szCs w:val="21"/>
                <w:lang w:eastAsia="zh-CN"/>
              </w:rPr>
            </w:pPr>
            <w:r>
              <w:rPr>
                <w:rFonts w:hint="eastAsia" w:ascii="宋体" w:hAnsi="宋体"/>
                <w:szCs w:val="21"/>
                <w:lang w:eastAsia="zh-CN"/>
              </w:rPr>
              <w:t>建筑面积 1</w:t>
            </w:r>
            <w:r>
              <w:rPr>
                <w:rFonts w:hint="eastAsia" w:ascii="宋体" w:hAnsi="宋体"/>
                <w:szCs w:val="21"/>
                <w:lang w:val="en-US" w:eastAsia="zh-CN"/>
              </w:rPr>
              <w:t>0</w:t>
            </w:r>
            <w:r>
              <w:rPr>
                <w:rFonts w:hint="eastAsia" w:ascii="宋体" w:hAnsi="宋体"/>
                <w:szCs w:val="21"/>
                <w:lang w:eastAsia="zh-CN"/>
              </w:rPr>
              <w:t xml:space="preserve">00 平方米左右；生产车间  </w:t>
            </w:r>
            <w:r>
              <w:rPr>
                <w:rFonts w:hint="eastAsia" w:ascii="宋体" w:hAnsi="宋体"/>
                <w:szCs w:val="21"/>
                <w:lang w:val="en-US" w:eastAsia="zh-CN"/>
              </w:rPr>
              <w:t>1</w:t>
            </w:r>
            <w:r>
              <w:rPr>
                <w:rFonts w:hint="eastAsia" w:ascii="宋体" w:hAnsi="宋体"/>
                <w:szCs w:val="21"/>
                <w:lang w:eastAsia="zh-CN"/>
              </w:rPr>
              <w:t xml:space="preserve"> 个；库房   个；实验室   个；</w:t>
            </w:r>
          </w:p>
          <w:p>
            <w:pPr>
              <w:shd w:val="clear" w:color="auto" w:fill="C7DAF1" w:themeFill="text2" w:themeFillTint="32"/>
              <w:rPr>
                <w:rFonts w:hint="eastAsia" w:ascii="宋体" w:hAnsi="宋体"/>
                <w:szCs w:val="21"/>
                <w:lang w:val="en-US" w:eastAsia="zh-CN"/>
              </w:rPr>
            </w:pPr>
            <w:r>
              <w:rPr>
                <w:rFonts w:hint="eastAsia" w:ascii="宋体" w:hAnsi="宋体"/>
                <w:szCs w:val="21"/>
                <w:lang w:eastAsia="zh-CN"/>
              </w:rPr>
              <w:t>主要生产设备有：</w:t>
            </w:r>
            <w:r>
              <w:rPr>
                <w:rFonts w:hint="eastAsia" w:ascii="宋体" w:hAnsi="宋体"/>
                <w:sz w:val="21"/>
                <w:szCs w:val="21"/>
                <w:lang w:val="en-US" w:eastAsia="zh-CN"/>
              </w:rPr>
              <w:t>数控车床、液压机、微型车床、铣床、钻床、攻丝机、焊机、后桥装配流水线</w:t>
            </w:r>
            <w:r>
              <w:rPr>
                <w:rFonts w:hint="eastAsia" w:ascii="宋体" w:hAnsi="宋体"/>
                <w:sz w:val="21"/>
                <w:szCs w:val="21"/>
                <w:lang w:eastAsia="zh-CN"/>
              </w:rPr>
              <w:t>等</w:t>
            </w:r>
            <w:r>
              <w:rPr>
                <w:rFonts w:hint="eastAsia" w:ascii="宋体" w:hAnsi="宋体"/>
                <w:szCs w:val="21"/>
                <w:lang w:val="en-US" w:eastAsia="zh-CN"/>
              </w:rPr>
              <w:t>及电脑办公设备</w:t>
            </w:r>
          </w:p>
          <w:p>
            <w:pPr>
              <w:shd w:val="clear" w:color="auto" w:fill="C7DAF1" w:themeFill="text2" w:themeFillTint="32"/>
              <w:rPr>
                <w:rFonts w:hint="eastAsia" w:ascii="宋体" w:hAnsi="宋体"/>
                <w:szCs w:val="21"/>
                <w:lang w:eastAsia="zh-CN"/>
              </w:rPr>
            </w:pPr>
            <w:r>
              <w:rPr>
                <w:rFonts w:hint="eastAsia" w:ascii="宋体" w:hAnsi="宋体"/>
                <w:szCs w:val="21"/>
                <w:lang w:eastAsia="zh-CN"/>
              </w:rPr>
              <w:t>特种设备：□叉车 □行车 □锅炉 □电梯  □</w:t>
            </w:r>
            <w:r>
              <w:rPr>
                <w:rFonts w:hint="eastAsia" w:ascii="宋体" w:hAnsi="宋体"/>
                <w:szCs w:val="21"/>
                <w:lang w:val="en-US" w:eastAsia="zh-CN"/>
              </w:rPr>
              <w:t>简单</w:t>
            </w:r>
            <w:r>
              <w:rPr>
                <w:rFonts w:hint="eastAsia" w:ascii="宋体" w:hAnsi="宋体"/>
                <w:szCs w:val="21"/>
                <w:lang w:eastAsia="zh-CN"/>
              </w:rPr>
              <w:t xml:space="preserve">压力容器  □压力管道  □不适用  </w:t>
            </w:r>
          </w:p>
          <w:p>
            <w:pPr>
              <w:shd w:val="clear" w:color="auto" w:fill="C7DAF1" w:themeFill="text2" w:themeFillTint="32"/>
              <w:rPr>
                <w:rFonts w:hint="eastAsia" w:ascii="宋体" w:hAnsi="宋体"/>
                <w:szCs w:val="21"/>
                <w:lang w:eastAsia="zh-CN"/>
              </w:rPr>
            </w:pPr>
            <w:r>
              <w:rPr>
                <w:rFonts w:hint="eastAsia" w:ascii="宋体" w:hAnsi="宋体"/>
                <w:szCs w:val="21"/>
                <w:lang w:eastAsia="zh-CN"/>
              </w:rPr>
              <w:t xml:space="preserve">特种设备管理：□进行了定期检验  □未进行定期检验的有：             </w:t>
            </w:r>
          </w:p>
          <w:p>
            <w:pPr>
              <w:shd w:val="clear" w:color="auto" w:fill="C7DAF1" w:themeFill="text2" w:themeFillTint="32"/>
              <w:rPr>
                <w:rFonts w:hint="eastAsia" w:ascii="宋体" w:hAnsi="宋体"/>
                <w:szCs w:val="21"/>
                <w:lang w:eastAsia="zh-CN"/>
              </w:rPr>
            </w:pPr>
            <w:r>
              <w:rPr>
                <w:rFonts w:hint="eastAsia" w:ascii="宋体" w:hAnsi="宋体"/>
                <w:szCs w:val="21"/>
                <w:lang w:eastAsia="zh-CN"/>
              </w:rPr>
              <w:t>■组织现有基础设施可满足质量管理体系运行；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1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highlight w:val="none"/>
                <w:u w:val="single"/>
              </w:rPr>
            </w:pPr>
            <w:r>
              <w:rPr>
                <w:rFonts w:hint="eastAsia"/>
                <w:highlight w:val="none"/>
              </w:rPr>
              <w:t>国家强检的计量器具有：</w:t>
            </w:r>
            <w:r>
              <w:rPr>
                <w:rFonts w:hint="eastAsia" w:ascii="宋体" w:hAnsi="宋体" w:cs="宋体"/>
                <w:szCs w:val="24"/>
              </w:rPr>
              <w:t>游标卡尺</w:t>
            </w:r>
            <w:r>
              <w:rPr>
                <w:rFonts w:hint="eastAsia" w:ascii="宋体" w:hAnsi="宋体" w:cs="宋体"/>
                <w:szCs w:val="24"/>
                <w:lang w:eastAsia="zh-CN"/>
              </w:rPr>
              <w:t>、</w:t>
            </w:r>
            <w:r>
              <w:rPr>
                <w:rFonts w:hint="eastAsia" w:ascii="宋体" w:hAnsi="宋体" w:cs="宋体"/>
                <w:szCs w:val="24"/>
                <w:lang w:val="en-US" w:eastAsia="zh-CN"/>
              </w:rPr>
              <w:t>外径千分尺、压力表和百分表</w:t>
            </w:r>
          </w:p>
          <w:p>
            <w:pPr>
              <w:shd w:val="clear" w:color="auto" w:fill="C7DAF1" w:themeFill="text2" w:themeFillTint="32"/>
              <w:rPr>
                <w:highlight w:val="none"/>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Wingdings" w:hAnsi="Wingdings"/>
                <w:color w:val="000000" w:themeColor="text1"/>
                <w:highlight w:val="none"/>
                <w:lang w:eastAsia="zh-CN"/>
              </w:rPr>
              <w:t>□</w:t>
            </w:r>
            <w:r>
              <w:rPr>
                <w:rFonts w:hint="eastAsia"/>
                <w:color w:val="000000" w:themeColor="text1"/>
                <w:highlight w:val="none"/>
              </w:rPr>
              <w:t xml:space="preserve">电工 </w:t>
            </w:r>
            <w:r>
              <w:rPr>
                <w:rFonts w:hint="eastAsia" w:ascii="Wingdings" w:hAnsi="Wingdings"/>
                <w:color w:val="000000" w:themeColor="text1"/>
                <w:highlight w:val="none"/>
                <w:lang w:eastAsia="zh-CN"/>
              </w:rPr>
              <w:t>☑</w:t>
            </w:r>
            <w:r>
              <w:rPr>
                <w:rFonts w:hint="eastAsia"/>
                <w:color w:val="000000" w:themeColor="text1"/>
                <w:highlight w:val="none"/>
              </w:rPr>
              <w:t xml:space="preserve">焊工  </w:t>
            </w:r>
            <w:r>
              <w:rPr>
                <w:rFonts w:hint="eastAsia" w:ascii="Wingdings" w:hAnsi="Wingdings"/>
                <w:color w:val="000000" w:themeColor="text1"/>
                <w:highlight w:val="none"/>
                <w:lang w:eastAsia="zh-CN"/>
              </w:rPr>
              <w:t>□</w:t>
            </w:r>
            <w:r>
              <w:rPr>
                <w:rFonts w:hint="eastAsia"/>
                <w:color w:val="000000" w:themeColor="text1"/>
                <w:highlight w:val="none"/>
              </w:rPr>
              <w:t xml:space="preserve">危化品作业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pPr>
            <w:r>
              <w:rPr>
                <w:rFonts w:hint="eastAsia"/>
                <w:color w:val="000000" w:themeColor="text1"/>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highlight w:val="none"/>
              </w:rPr>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6"/>
              <w:gridCol w:w="120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56" w:type="dxa"/>
                </w:tcPr>
                <w:p>
                  <w:pPr>
                    <w:shd w:val="clear" w:color="auto" w:fill="C7DAF1" w:themeFill="text2" w:themeFillTint="32"/>
                    <w:jc w:val="left"/>
                    <w:rPr>
                      <w:highlight w:val="none"/>
                    </w:rPr>
                  </w:pPr>
                  <w:r>
                    <w:rPr>
                      <w:rFonts w:hint="eastAsia"/>
                      <w:highlight w:val="none"/>
                    </w:rPr>
                    <w:t>产品/服务名称</w:t>
                  </w:r>
                </w:p>
              </w:tc>
              <w:tc>
                <w:tcPr>
                  <w:tcW w:w="1201"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56" w:type="dxa"/>
                </w:tcPr>
                <w:p>
                  <w:pPr>
                    <w:shd w:val="clear" w:color="auto" w:fill="C7DAF1" w:themeFill="text2" w:themeFillTint="32"/>
                    <w:jc w:val="left"/>
                    <w:rPr>
                      <w:highlight w:val="none"/>
                    </w:rPr>
                  </w:pPr>
                  <w:r>
                    <w:rPr>
                      <w:rFonts w:hint="eastAsia" w:ascii="宋体" w:hAnsi="宋体"/>
                      <w:color w:val="000000"/>
                      <w:szCs w:val="21"/>
                    </w:rPr>
                    <w:t>三轮摩托车制动系统总成的生产</w:t>
                  </w:r>
                  <w:r>
                    <w:rPr>
                      <w:rFonts w:hint="eastAsia" w:cs="Times New Roman"/>
                      <w:kern w:val="2"/>
                      <w:sz w:val="21"/>
                      <w:szCs w:val="24"/>
                      <w:highlight w:val="none"/>
                      <w:lang w:val="en-US" w:eastAsia="zh-CN" w:bidi="ar-SA"/>
                    </w:rPr>
                    <w:t xml:space="preserve"> </w:t>
                  </w:r>
                </w:p>
              </w:tc>
              <w:tc>
                <w:tcPr>
                  <w:tcW w:w="1201"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机加过程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ascii="宋体" w:hAnsi="宋体" w:eastAsia="宋体" w:cs="宋体"/>
                      <w:szCs w:val="21"/>
                      <w:lang w:val="en-US" w:eastAsia="zh-CN"/>
                    </w:rPr>
                    <w:t>外观、尺寸、气密、异响、灵活度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 w:hRule="atLeast"/>
              </w:trPr>
              <w:tc>
                <w:tcPr>
                  <w:tcW w:w="4056" w:type="dxa"/>
                </w:tcPr>
                <w:p>
                  <w:pPr>
                    <w:shd w:val="clear" w:color="auto" w:fill="C7DAF1" w:themeFill="text2" w:themeFillTint="32"/>
                    <w:jc w:val="left"/>
                    <w:rPr>
                      <w:highlight w:val="none"/>
                    </w:rPr>
                  </w:pPr>
                </w:p>
              </w:tc>
              <w:tc>
                <w:tcPr>
                  <w:tcW w:w="1201"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yellow"/>
                      <w:lang w:val="en-US" w:eastAsia="zh-CN" w:bidi="ar-SA"/>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56" w:type="dxa"/>
                </w:tcPr>
                <w:p>
                  <w:pPr>
                    <w:shd w:val="clear" w:color="auto" w:fill="C7DAF1" w:themeFill="text2" w:themeFillTint="32"/>
                    <w:jc w:val="left"/>
                    <w:rPr>
                      <w:highlight w:val="none"/>
                    </w:rPr>
                  </w:pPr>
                </w:p>
              </w:tc>
              <w:tc>
                <w:tcPr>
                  <w:tcW w:w="1201" w:type="dxa"/>
                </w:tcPr>
                <w:p>
                  <w:pPr>
                    <w:shd w:val="clear" w:color="auto" w:fill="C7DAF1" w:themeFill="text2" w:themeFillTint="32"/>
                    <w:jc w:val="left"/>
                    <w:rPr>
                      <w:highlight w:val="none"/>
                    </w:rPr>
                  </w:pPr>
                </w:p>
              </w:tc>
              <w:tc>
                <w:tcPr>
                  <w:tcW w:w="3265" w:type="dxa"/>
                </w:tcPr>
                <w:p>
                  <w:pPr>
                    <w:shd w:val="clear" w:color="auto" w:fill="C7DAF1" w:themeFill="text2" w:themeFillTint="32"/>
                    <w:jc w:val="left"/>
                    <w:rPr>
                      <w:highlight w:val="none"/>
                    </w:rPr>
                  </w:pPr>
                </w:p>
              </w:tc>
            </w:tr>
          </w:tbl>
          <w:p>
            <w:pPr>
              <w:shd w:val="clear" w:color="auto" w:fill="C7DAF1" w:themeFill="text2" w:themeFillTint="32"/>
              <w:jc w:val="left"/>
              <w:rPr>
                <w:highlight w:val="none"/>
              </w:rPr>
            </w:pPr>
          </w:p>
          <w:p>
            <w:pPr>
              <w:adjustRightInd w:val="0"/>
              <w:snapToGrid w:val="0"/>
              <w:spacing w:line="400" w:lineRule="exact"/>
              <w:rPr>
                <w:rFonts w:hint="eastAsia" w:ascii="宋体" w:hAnsi="宋体" w:eastAsia="宋体"/>
                <w:color w:val="000000" w:themeColor="text1"/>
                <w:sz w:val="21"/>
                <w:szCs w:val="21"/>
                <w:lang w:val="en-US" w:eastAsia="zh-CN"/>
              </w:rPr>
            </w:pPr>
            <w:r>
              <w:rPr>
                <w:rFonts w:hint="eastAsia"/>
                <w:highlight w:val="none"/>
              </w:rPr>
              <w:t>需要确认的过程：</w:t>
            </w:r>
            <w:r>
              <w:rPr>
                <w:rFonts w:hint="eastAsia" w:ascii="宋体" w:hAnsi="宋体"/>
                <w:color w:val="000000" w:themeColor="text1"/>
                <w:sz w:val="21"/>
                <w:szCs w:val="21"/>
              </w:rPr>
              <w:t>焊接</w:t>
            </w:r>
            <w:r>
              <w:rPr>
                <w:rFonts w:hint="eastAsia" w:ascii="宋体" w:hAnsi="宋体"/>
                <w:color w:val="000000" w:themeColor="text1"/>
                <w:sz w:val="21"/>
                <w:szCs w:val="21"/>
                <w:lang w:eastAsia="zh-CN"/>
              </w:rPr>
              <w:t>过程</w:t>
            </w:r>
            <w:r>
              <w:rPr>
                <w:rFonts w:hint="eastAsia" w:ascii="宋体" w:hAnsi="宋体"/>
                <w:color w:val="000000" w:themeColor="text1"/>
                <w:sz w:val="21"/>
                <w:szCs w:val="21"/>
                <w:lang w:val="en-US" w:eastAsia="zh-CN"/>
              </w:rPr>
              <w:t>\喷涂过程（外包）</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u w:val="single"/>
                <w:lang w:eastAsia="zh-CN"/>
              </w:rPr>
              <w:t>按</w:t>
            </w:r>
            <w:r>
              <w:rPr>
                <w:rFonts w:hint="eastAsia" w:ascii="宋体" w:hAnsi="宋体"/>
                <w:color w:val="000000" w:themeColor="text1"/>
                <w:sz w:val="21"/>
                <w:szCs w:val="21"/>
                <w:lang w:val="en-US" w:eastAsia="zh-CN"/>
              </w:rPr>
              <w:t>外部供方控制程序进行控制</w:t>
            </w:r>
            <w:r>
              <w:rPr>
                <w:rFonts w:hint="eastAsia"/>
                <w:highlight w:val="none"/>
                <w:u w:val="single"/>
              </w:rPr>
              <w:t xml:space="preserve">           </w:t>
            </w:r>
            <w:r>
              <w:rPr>
                <w:rFonts w:hint="eastAsia"/>
                <w:highlight w:val="none"/>
              </w:rPr>
              <w:t>。</w:t>
            </w:r>
          </w:p>
          <w:p>
            <w:pPr>
              <w:shd w:val="clear" w:color="auto" w:fill="C7DAF1" w:themeFill="text2" w:themeFillTint="32"/>
              <w:jc w:val="left"/>
            </w:pPr>
            <w:r>
              <w:rPr>
                <w:rFonts w:hint="eastAsia"/>
                <w:highlight w:val="none"/>
              </w:rPr>
              <w:t>对生产和服务提供过程的</w:t>
            </w:r>
            <w:r>
              <w:rPr>
                <w:rFonts w:hint="eastAsia"/>
              </w:rPr>
              <w:t>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组织应满足与产品和服务相关的</w:t>
            </w:r>
            <w:r>
              <w:rPr>
                <w:rFonts w:hint="eastAsia"/>
                <w:highlight w:val="none"/>
              </w:rPr>
              <w:t xml:space="preserve">交付后活动的要求。 </w:t>
            </w:r>
          </w:p>
          <w:p>
            <w:pPr>
              <w:shd w:val="clear" w:color="auto" w:fill="C7DAF1" w:themeFill="text2" w:themeFillTint="32"/>
              <w:rPr>
                <w:highlight w:val="none"/>
              </w:rPr>
            </w:pPr>
            <w:r>
              <w:rPr>
                <w:rFonts w:hint="eastAsia"/>
                <w:highlight w:val="none"/>
              </w:rPr>
              <w:t>目前交付后活动：</w:t>
            </w:r>
            <w:r>
              <w:rPr>
                <w:rFonts w:hint="eastAsia"/>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ascii="Wingdings" w:hAnsi="Wingdings"/>
                <w:highlight w:val="none"/>
                <w:lang w:eastAsia="zh-CN"/>
              </w:rPr>
              <w:t>□</w:t>
            </w:r>
            <w:r>
              <w:rPr>
                <w:rFonts w:hint="eastAsia"/>
                <w:highlight w:val="none"/>
              </w:rPr>
              <w:t xml:space="preserve">型式检验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《型式检验报告》，如：</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 xml:space="preserve">通过年度策划于2021 年 </w:t>
            </w:r>
            <w:r>
              <w:rPr>
                <w:rFonts w:hint="eastAsia"/>
                <w:highlight w:val="none"/>
                <w:lang w:val="en-US" w:eastAsia="zh-CN"/>
              </w:rPr>
              <w:t>10</w:t>
            </w:r>
            <w:r>
              <w:rPr>
                <w:rFonts w:hint="eastAsia"/>
                <w:highlight w:val="none"/>
              </w:rPr>
              <w:t xml:space="preserve">月 </w:t>
            </w:r>
            <w:r>
              <w:rPr>
                <w:rFonts w:hint="eastAsia"/>
                <w:highlight w:val="none"/>
                <w:lang w:val="en-US" w:eastAsia="zh-CN"/>
              </w:rPr>
              <w:t>15</w:t>
            </w:r>
            <w:r>
              <w:rPr>
                <w:rFonts w:hint="eastAsia"/>
                <w:highlight w:val="none"/>
              </w:rPr>
              <w:t>实施了质量管理体系内部审核，对质量管理体系的符合性和有效性进行了审核。内审发现的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最高管理者已按策划的时间间隔，在2021  年 </w:t>
            </w:r>
            <w:r>
              <w:rPr>
                <w:rFonts w:hint="eastAsia"/>
                <w:highlight w:val="none"/>
                <w:lang w:val="en-US" w:eastAsia="zh-CN"/>
              </w:rPr>
              <w:t>10</w:t>
            </w:r>
            <w:r>
              <w:rPr>
                <w:rFonts w:hint="eastAsia"/>
                <w:highlight w:val="none"/>
              </w:rPr>
              <w:t xml:space="preserve"> 月 </w:t>
            </w:r>
            <w:r>
              <w:rPr>
                <w:rFonts w:hint="eastAsia"/>
                <w:highlight w:val="none"/>
                <w:lang w:val="en-US" w:eastAsia="zh-CN"/>
              </w:rPr>
              <w:t>25</w:t>
            </w:r>
            <w:r>
              <w:rPr>
                <w:rFonts w:hint="eastAsia"/>
                <w:highlight w:val="none"/>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533"/>
        <w:gridCol w:w="642"/>
        <w:gridCol w:w="731"/>
        <w:gridCol w:w="638"/>
        <w:gridCol w:w="741"/>
        <w:gridCol w:w="741"/>
        <w:gridCol w:w="740"/>
        <w:gridCol w:w="741"/>
        <w:gridCol w:w="560"/>
        <w:gridCol w:w="1011"/>
        <w:gridCol w:w="644"/>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lang w:val="en-GB"/>
              </w:rPr>
              <w:t>标准条款</w:t>
            </w:r>
          </w:p>
        </w:tc>
        <w:tc>
          <w:tcPr>
            <w:tcW w:w="533"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4.1</w:t>
            </w:r>
          </w:p>
        </w:tc>
        <w:tc>
          <w:tcPr>
            <w:tcW w:w="64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4.2</w:t>
            </w:r>
          </w:p>
        </w:tc>
        <w:tc>
          <w:tcPr>
            <w:tcW w:w="73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4.3</w:t>
            </w:r>
          </w:p>
        </w:tc>
        <w:tc>
          <w:tcPr>
            <w:tcW w:w="638"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4.4</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5.1</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5.2</w:t>
            </w:r>
          </w:p>
        </w:tc>
        <w:tc>
          <w:tcPr>
            <w:tcW w:w="74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5.3</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6.1</w:t>
            </w:r>
          </w:p>
        </w:tc>
        <w:tc>
          <w:tcPr>
            <w:tcW w:w="56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6.2</w:t>
            </w:r>
          </w:p>
        </w:tc>
        <w:tc>
          <w:tcPr>
            <w:tcW w:w="101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6.3</w:t>
            </w:r>
          </w:p>
        </w:tc>
        <w:tc>
          <w:tcPr>
            <w:tcW w:w="644" w:type="dxa"/>
            <w:shd w:val="clear" w:color="auto" w:fill="BFBFBF"/>
            <w:vAlign w:val="center"/>
          </w:tcPr>
          <w:p>
            <w:pPr>
              <w:shd w:val="clear" w:color="auto" w:fill="C7DAF1" w:themeFill="text2" w:themeFillTint="32"/>
              <w:rPr>
                <w:color w:val="000000" w:themeColor="text1"/>
                <w:highlight w:val="none"/>
                <w:lang w:eastAsia="ja-JP"/>
              </w:rPr>
            </w:pPr>
          </w:p>
        </w:tc>
        <w:tc>
          <w:tcPr>
            <w:tcW w:w="556"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lang w:val="en-GB"/>
              </w:rPr>
              <w:t>评价*)</w:t>
            </w:r>
          </w:p>
        </w:tc>
        <w:tc>
          <w:tcPr>
            <w:tcW w:w="533"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642"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73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638"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740"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560"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101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644" w:type="dxa"/>
            <w:shd w:val="clear" w:color="auto" w:fill="BFBFBF"/>
            <w:vAlign w:val="center"/>
          </w:tcPr>
          <w:p>
            <w:pPr>
              <w:shd w:val="clear" w:color="auto" w:fill="C7DAF1" w:themeFill="text2" w:themeFillTint="32"/>
              <w:rPr>
                <w:color w:val="000000" w:themeColor="text1"/>
                <w:highlight w:val="none"/>
                <w:lang w:eastAsia="ja-JP"/>
              </w:rPr>
            </w:pPr>
          </w:p>
        </w:tc>
        <w:tc>
          <w:tcPr>
            <w:tcW w:w="556"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rPr>
            </w:pPr>
            <w:r>
              <w:rPr>
                <w:rFonts w:hint="eastAsia"/>
                <w:color w:val="000000" w:themeColor="text1"/>
                <w:highlight w:val="none"/>
              </w:rPr>
              <w:t>不符合数量</w:t>
            </w:r>
          </w:p>
        </w:tc>
        <w:tc>
          <w:tcPr>
            <w:tcW w:w="533" w:type="dxa"/>
            <w:vAlign w:val="center"/>
          </w:tcPr>
          <w:p>
            <w:pPr>
              <w:shd w:val="clear" w:color="auto" w:fill="C7DAF1" w:themeFill="text2" w:themeFillTint="32"/>
              <w:rPr>
                <w:color w:val="000000" w:themeColor="text1"/>
                <w:highlight w:val="none"/>
                <w:lang w:eastAsia="ja-JP"/>
              </w:rPr>
            </w:pPr>
          </w:p>
        </w:tc>
        <w:tc>
          <w:tcPr>
            <w:tcW w:w="642" w:type="dxa"/>
            <w:vAlign w:val="center"/>
          </w:tcPr>
          <w:p>
            <w:pPr>
              <w:shd w:val="clear" w:color="auto" w:fill="C7DAF1" w:themeFill="text2" w:themeFillTint="32"/>
              <w:rPr>
                <w:color w:val="000000" w:themeColor="text1"/>
                <w:highlight w:val="none"/>
                <w:lang w:eastAsia="ja-JP"/>
              </w:rPr>
            </w:pPr>
          </w:p>
        </w:tc>
        <w:tc>
          <w:tcPr>
            <w:tcW w:w="731" w:type="dxa"/>
            <w:vAlign w:val="center"/>
          </w:tcPr>
          <w:p>
            <w:pPr>
              <w:shd w:val="clear" w:color="auto" w:fill="C7DAF1" w:themeFill="text2" w:themeFillTint="32"/>
              <w:rPr>
                <w:color w:val="000000" w:themeColor="text1"/>
                <w:highlight w:val="none"/>
                <w:lang w:eastAsia="ja-JP"/>
              </w:rPr>
            </w:pPr>
          </w:p>
        </w:tc>
        <w:tc>
          <w:tcPr>
            <w:tcW w:w="638"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740"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560" w:type="dxa"/>
            <w:vAlign w:val="center"/>
          </w:tcPr>
          <w:p>
            <w:pPr>
              <w:shd w:val="clear" w:color="auto" w:fill="C7DAF1" w:themeFill="text2" w:themeFillTint="32"/>
              <w:rPr>
                <w:color w:val="000000" w:themeColor="text1"/>
                <w:highlight w:val="none"/>
                <w:lang w:eastAsia="ja-JP"/>
              </w:rPr>
            </w:pPr>
          </w:p>
        </w:tc>
        <w:tc>
          <w:tcPr>
            <w:tcW w:w="1011" w:type="dxa"/>
            <w:vAlign w:val="center"/>
          </w:tcPr>
          <w:p>
            <w:pPr>
              <w:shd w:val="clear" w:color="auto" w:fill="C7DAF1" w:themeFill="text2" w:themeFillTint="32"/>
              <w:rPr>
                <w:color w:val="000000" w:themeColor="text1"/>
                <w:highlight w:val="none"/>
                <w:lang w:eastAsia="ja-JP"/>
              </w:rPr>
            </w:pPr>
          </w:p>
        </w:tc>
        <w:tc>
          <w:tcPr>
            <w:tcW w:w="644" w:type="dxa"/>
            <w:shd w:val="clear" w:color="auto" w:fill="BFBFBF"/>
            <w:vAlign w:val="center"/>
          </w:tcPr>
          <w:p>
            <w:pPr>
              <w:shd w:val="clear" w:color="auto" w:fill="C7DAF1" w:themeFill="text2" w:themeFillTint="32"/>
              <w:rPr>
                <w:color w:val="000000" w:themeColor="text1"/>
                <w:highlight w:val="none"/>
                <w:lang w:eastAsia="ja-JP"/>
              </w:rPr>
            </w:pPr>
          </w:p>
        </w:tc>
        <w:tc>
          <w:tcPr>
            <w:tcW w:w="556"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lang w:val="en-GB"/>
              </w:rPr>
              <w:t>标准条款</w:t>
            </w:r>
          </w:p>
        </w:tc>
        <w:tc>
          <w:tcPr>
            <w:tcW w:w="533"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7.1</w:t>
            </w:r>
          </w:p>
        </w:tc>
        <w:tc>
          <w:tcPr>
            <w:tcW w:w="64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7.2</w:t>
            </w:r>
          </w:p>
        </w:tc>
        <w:tc>
          <w:tcPr>
            <w:tcW w:w="73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7.3</w:t>
            </w:r>
          </w:p>
        </w:tc>
        <w:tc>
          <w:tcPr>
            <w:tcW w:w="638"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7.4</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7.5</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8.1</w:t>
            </w:r>
          </w:p>
        </w:tc>
        <w:tc>
          <w:tcPr>
            <w:tcW w:w="74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8.2</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8.3</w:t>
            </w:r>
          </w:p>
        </w:tc>
        <w:tc>
          <w:tcPr>
            <w:tcW w:w="56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8.4</w:t>
            </w:r>
          </w:p>
        </w:tc>
        <w:tc>
          <w:tcPr>
            <w:tcW w:w="101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8.5</w:t>
            </w:r>
          </w:p>
        </w:tc>
        <w:tc>
          <w:tcPr>
            <w:tcW w:w="644"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8.6</w:t>
            </w:r>
          </w:p>
        </w:tc>
        <w:tc>
          <w:tcPr>
            <w:tcW w:w="556"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lang w:val="en-GB"/>
              </w:rPr>
              <w:t>评价*)</w:t>
            </w:r>
          </w:p>
        </w:tc>
        <w:tc>
          <w:tcPr>
            <w:tcW w:w="533"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642"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3</w:t>
            </w:r>
          </w:p>
        </w:tc>
        <w:tc>
          <w:tcPr>
            <w:tcW w:w="73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638"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0"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4</w:t>
            </w:r>
          </w:p>
        </w:tc>
        <w:tc>
          <w:tcPr>
            <w:tcW w:w="560"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1011" w:type="dxa"/>
            <w:vAlign w:val="center"/>
          </w:tcPr>
          <w:p>
            <w:pPr>
              <w:shd w:val="clear" w:color="auto" w:fill="C7DAF1" w:themeFill="text2" w:themeFillTint="32"/>
              <w:rPr>
                <w:rFonts w:hint="default" w:eastAsia="宋体"/>
                <w:color w:val="000000" w:themeColor="text1"/>
                <w:highlight w:val="none"/>
                <w:lang w:val="en-US" w:eastAsia="zh-CN"/>
              </w:rPr>
            </w:pPr>
            <w:r>
              <w:rPr>
                <w:rFonts w:hint="eastAsia"/>
                <w:color w:val="000000" w:themeColor="text1"/>
                <w:highlight w:val="none"/>
                <w:lang w:val="en-US" w:eastAsia="zh-CN"/>
              </w:rPr>
              <w:t>3</w:t>
            </w:r>
          </w:p>
        </w:tc>
        <w:tc>
          <w:tcPr>
            <w:tcW w:w="644"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556"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不符合数量</w:t>
            </w:r>
          </w:p>
        </w:tc>
        <w:tc>
          <w:tcPr>
            <w:tcW w:w="533" w:type="dxa"/>
            <w:vAlign w:val="center"/>
          </w:tcPr>
          <w:p>
            <w:pPr>
              <w:shd w:val="clear" w:color="auto" w:fill="C7DAF1" w:themeFill="text2" w:themeFillTint="32"/>
              <w:rPr>
                <w:color w:val="000000" w:themeColor="text1"/>
                <w:highlight w:val="none"/>
                <w:lang w:eastAsia="ja-JP"/>
              </w:rPr>
            </w:pPr>
          </w:p>
        </w:tc>
        <w:tc>
          <w:tcPr>
            <w:tcW w:w="642" w:type="dxa"/>
            <w:vAlign w:val="center"/>
          </w:tcPr>
          <w:p>
            <w:pPr>
              <w:shd w:val="clear" w:color="auto" w:fill="C7DAF1" w:themeFill="text2" w:themeFillTint="32"/>
              <w:rPr>
                <w:color w:val="000000" w:themeColor="text1"/>
                <w:highlight w:val="none"/>
                <w:lang w:eastAsia="ja-JP"/>
              </w:rPr>
            </w:pPr>
          </w:p>
        </w:tc>
        <w:tc>
          <w:tcPr>
            <w:tcW w:w="731" w:type="dxa"/>
            <w:vAlign w:val="center"/>
          </w:tcPr>
          <w:p>
            <w:pPr>
              <w:shd w:val="clear" w:color="auto" w:fill="C7DAF1" w:themeFill="text2" w:themeFillTint="32"/>
              <w:rPr>
                <w:color w:val="000000" w:themeColor="text1"/>
                <w:highlight w:val="none"/>
                <w:lang w:eastAsia="ja-JP"/>
              </w:rPr>
            </w:pPr>
          </w:p>
        </w:tc>
        <w:tc>
          <w:tcPr>
            <w:tcW w:w="638"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740" w:type="dxa"/>
            <w:tcBorders>
              <w:bottom w:val="single" w:color="auto" w:sz="4" w:space="0"/>
            </w:tcBorders>
            <w:vAlign w:val="center"/>
          </w:tcPr>
          <w:p>
            <w:pPr>
              <w:shd w:val="clear" w:color="auto" w:fill="C7DAF1" w:themeFill="text2" w:themeFillTint="32"/>
              <w:rPr>
                <w:color w:val="000000" w:themeColor="text1"/>
                <w:highlight w:val="none"/>
                <w:lang w:eastAsia="ja-JP"/>
              </w:rPr>
            </w:pPr>
          </w:p>
        </w:tc>
        <w:tc>
          <w:tcPr>
            <w:tcW w:w="741" w:type="dxa"/>
            <w:tcBorders>
              <w:bottom w:val="single" w:color="auto" w:sz="4" w:space="0"/>
            </w:tcBorders>
            <w:vAlign w:val="center"/>
          </w:tcPr>
          <w:p>
            <w:pPr>
              <w:shd w:val="clear" w:color="auto" w:fill="C7DAF1" w:themeFill="text2" w:themeFillTint="32"/>
              <w:rPr>
                <w:color w:val="000000" w:themeColor="text1"/>
                <w:highlight w:val="none"/>
                <w:lang w:eastAsia="ja-JP"/>
              </w:rPr>
            </w:pPr>
          </w:p>
        </w:tc>
        <w:tc>
          <w:tcPr>
            <w:tcW w:w="560" w:type="dxa"/>
            <w:tcBorders>
              <w:bottom w:val="single" w:color="auto" w:sz="4" w:space="0"/>
            </w:tcBorders>
            <w:vAlign w:val="center"/>
          </w:tcPr>
          <w:p>
            <w:pPr>
              <w:shd w:val="clear" w:color="auto" w:fill="C7DAF1" w:themeFill="text2" w:themeFillTint="32"/>
              <w:rPr>
                <w:color w:val="000000" w:themeColor="text1"/>
                <w:highlight w:val="none"/>
                <w:lang w:eastAsia="ja-JP"/>
              </w:rPr>
            </w:pPr>
          </w:p>
        </w:tc>
        <w:tc>
          <w:tcPr>
            <w:tcW w:w="1011" w:type="dxa"/>
            <w:tcBorders>
              <w:bottom w:val="single" w:color="auto" w:sz="4" w:space="0"/>
            </w:tcBorders>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644" w:type="dxa"/>
            <w:tcBorders>
              <w:bottom w:val="single" w:color="auto" w:sz="4" w:space="0"/>
            </w:tcBorders>
            <w:vAlign w:val="center"/>
          </w:tcPr>
          <w:p>
            <w:pPr>
              <w:shd w:val="clear" w:color="auto" w:fill="C7DAF1" w:themeFill="text2" w:themeFillTint="32"/>
              <w:rPr>
                <w:color w:val="000000" w:themeColor="text1"/>
                <w:highlight w:val="none"/>
                <w:lang w:eastAsia="ja-JP"/>
              </w:rPr>
            </w:pPr>
          </w:p>
        </w:tc>
        <w:tc>
          <w:tcPr>
            <w:tcW w:w="556" w:type="dxa"/>
            <w:tcBorders>
              <w:bottom w:val="single" w:color="auto" w:sz="4" w:space="0"/>
            </w:tcBorders>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lang w:val="en-GB"/>
              </w:rPr>
              <w:t>标准条款</w:t>
            </w:r>
          </w:p>
        </w:tc>
        <w:tc>
          <w:tcPr>
            <w:tcW w:w="533"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9.1</w:t>
            </w:r>
          </w:p>
        </w:tc>
        <w:tc>
          <w:tcPr>
            <w:tcW w:w="64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9.2</w:t>
            </w:r>
          </w:p>
        </w:tc>
        <w:tc>
          <w:tcPr>
            <w:tcW w:w="73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9.3</w:t>
            </w:r>
          </w:p>
        </w:tc>
        <w:tc>
          <w:tcPr>
            <w:tcW w:w="638"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10.1</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10.2</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10.3</w:t>
            </w:r>
          </w:p>
        </w:tc>
        <w:tc>
          <w:tcPr>
            <w:tcW w:w="740" w:type="dxa"/>
            <w:shd w:val="pct25" w:color="auto" w:fill="auto"/>
            <w:vAlign w:val="center"/>
          </w:tcPr>
          <w:p>
            <w:pPr>
              <w:shd w:val="clear" w:color="auto" w:fill="C7DAF1" w:themeFill="text2" w:themeFillTint="32"/>
              <w:rPr>
                <w:color w:val="000000" w:themeColor="text1"/>
                <w:highlight w:val="none"/>
                <w:lang w:eastAsia="ja-JP"/>
              </w:rPr>
            </w:pPr>
          </w:p>
        </w:tc>
        <w:tc>
          <w:tcPr>
            <w:tcW w:w="741" w:type="dxa"/>
            <w:shd w:val="pct25" w:color="auto" w:fill="auto"/>
            <w:vAlign w:val="center"/>
          </w:tcPr>
          <w:p>
            <w:pPr>
              <w:shd w:val="clear" w:color="auto" w:fill="C7DAF1" w:themeFill="text2" w:themeFillTint="32"/>
              <w:rPr>
                <w:color w:val="000000" w:themeColor="text1"/>
                <w:highlight w:val="none"/>
                <w:lang w:eastAsia="ja-JP"/>
              </w:rPr>
            </w:pPr>
          </w:p>
        </w:tc>
        <w:tc>
          <w:tcPr>
            <w:tcW w:w="560" w:type="dxa"/>
            <w:shd w:val="pct25" w:color="auto" w:fill="auto"/>
            <w:vAlign w:val="center"/>
          </w:tcPr>
          <w:p>
            <w:pPr>
              <w:shd w:val="clear" w:color="auto" w:fill="C7DAF1" w:themeFill="text2" w:themeFillTint="32"/>
              <w:rPr>
                <w:color w:val="000000" w:themeColor="text1"/>
                <w:highlight w:val="none"/>
                <w:lang w:eastAsia="ja-JP"/>
              </w:rPr>
            </w:pPr>
          </w:p>
        </w:tc>
        <w:tc>
          <w:tcPr>
            <w:tcW w:w="1011" w:type="dxa"/>
            <w:shd w:val="pct25" w:color="auto" w:fill="auto"/>
            <w:vAlign w:val="center"/>
          </w:tcPr>
          <w:p>
            <w:pPr>
              <w:shd w:val="clear" w:color="auto" w:fill="C7DAF1" w:themeFill="text2" w:themeFillTint="32"/>
              <w:rPr>
                <w:color w:val="000000" w:themeColor="text1"/>
                <w:highlight w:val="none"/>
                <w:lang w:eastAsia="ja-JP"/>
              </w:rPr>
            </w:pPr>
          </w:p>
        </w:tc>
        <w:tc>
          <w:tcPr>
            <w:tcW w:w="644" w:type="dxa"/>
            <w:shd w:val="pct25" w:color="auto" w:fill="auto"/>
            <w:vAlign w:val="center"/>
          </w:tcPr>
          <w:p>
            <w:pPr>
              <w:shd w:val="clear" w:color="auto" w:fill="C7DAF1" w:themeFill="text2" w:themeFillTint="32"/>
              <w:rPr>
                <w:color w:val="000000" w:themeColor="text1"/>
                <w:highlight w:val="none"/>
                <w:lang w:eastAsia="ja-JP"/>
              </w:rPr>
            </w:pPr>
          </w:p>
        </w:tc>
        <w:tc>
          <w:tcPr>
            <w:tcW w:w="556"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lang w:val="en-GB"/>
              </w:rPr>
              <w:t>评价*)</w:t>
            </w:r>
          </w:p>
        </w:tc>
        <w:tc>
          <w:tcPr>
            <w:tcW w:w="533"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642"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31" w:type="dxa"/>
            <w:vAlign w:val="center"/>
          </w:tcPr>
          <w:p>
            <w:pPr>
              <w:shd w:val="clear" w:color="auto" w:fill="C7DAF1" w:themeFill="text2" w:themeFillTint="32"/>
              <w:rPr>
                <w:rFonts w:hint="default" w:eastAsia="宋体"/>
                <w:color w:val="000000" w:themeColor="text1"/>
                <w:highlight w:val="none"/>
                <w:lang w:val="en-US" w:eastAsia="zh-CN"/>
              </w:rPr>
            </w:pPr>
            <w:r>
              <w:rPr>
                <w:rFonts w:hint="eastAsia"/>
                <w:color w:val="000000" w:themeColor="text1"/>
                <w:highlight w:val="none"/>
                <w:lang w:val="en-US" w:eastAsia="zh-CN"/>
              </w:rPr>
              <w:t>1</w:t>
            </w:r>
          </w:p>
        </w:tc>
        <w:tc>
          <w:tcPr>
            <w:tcW w:w="638"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0" w:type="dxa"/>
            <w:shd w:val="pct25" w:color="auto" w:fill="auto"/>
            <w:vAlign w:val="center"/>
          </w:tcPr>
          <w:p>
            <w:pPr>
              <w:shd w:val="clear" w:color="auto" w:fill="C7DAF1" w:themeFill="text2" w:themeFillTint="32"/>
              <w:rPr>
                <w:color w:val="000000" w:themeColor="text1"/>
                <w:highlight w:val="none"/>
                <w:lang w:eastAsia="ja-JP"/>
              </w:rPr>
            </w:pPr>
          </w:p>
        </w:tc>
        <w:tc>
          <w:tcPr>
            <w:tcW w:w="741" w:type="dxa"/>
            <w:shd w:val="pct25" w:color="auto" w:fill="auto"/>
            <w:vAlign w:val="center"/>
          </w:tcPr>
          <w:p>
            <w:pPr>
              <w:shd w:val="clear" w:color="auto" w:fill="C7DAF1" w:themeFill="text2" w:themeFillTint="32"/>
              <w:rPr>
                <w:color w:val="000000" w:themeColor="text1"/>
                <w:highlight w:val="none"/>
                <w:lang w:eastAsia="ja-JP"/>
              </w:rPr>
            </w:pPr>
          </w:p>
        </w:tc>
        <w:tc>
          <w:tcPr>
            <w:tcW w:w="560" w:type="dxa"/>
            <w:shd w:val="pct25" w:color="auto" w:fill="auto"/>
            <w:vAlign w:val="center"/>
          </w:tcPr>
          <w:p>
            <w:pPr>
              <w:shd w:val="clear" w:color="auto" w:fill="C7DAF1" w:themeFill="text2" w:themeFillTint="32"/>
              <w:rPr>
                <w:color w:val="000000" w:themeColor="text1"/>
                <w:highlight w:val="none"/>
                <w:lang w:eastAsia="ja-JP"/>
              </w:rPr>
            </w:pPr>
          </w:p>
        </w:tc>
        <w:tc>
          <w:tcPr>
            <w:tcW w:w="1011" w:type="dxa"/>
            <w:shd w:val="pct25" w:color="auto" w:fill="auto"/>
            <w:vAlign w:val="center"/>
          </w:tcPr>
          <w:p>
            <w:pPr>
              <w:shd w:val="clear" w:color="auto" w:fill="C7DAF1" w:themeFill="text2" w:themeFillTint="32"/>
              <w:rPr>
                <w:color w:val="000000" w:themeColor="text1"/>
                <w:highlight w:val="none"/>
                <w:lang w:eastAsia="ja-JP"/>
              </w:rPr>
            </w:pPr>
          </w:p>
        </w:tc>
        <w:tc>
          <w:tcPr>
            <w:tcW w:w="644" w:type="dxa"/>
            <w:shd w:val="pct25" w:color="auto" w:fill="auto"/>
            <w:vAlign w:val="center"/>
          </w:tcPr>
          <w:p>
            <w:pPr>
              <w:shd w:val="clear" w:color="auto" w:fill="C7DAF1" w:themeFill="text2" w:themeFillTint="32"/>
              <w:rPr>
                <w:color w:val="000000" w:themeColor="text1"/>
                <w:highlight w:val="none"/>
                <w:lang w:eastAsia="ja-JP"/>
              </w:rPr>
            </w:pPr>
          </w:p>
        </w:tc>
        <w:tc>
          <w:tcPr>
            <w:tcW w:w="556"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不符合数量</w:t>
            </w:r>
          </w:p>
        </w:tc>
        <w:tc>
          <w:tcPr>
            <w:tcW w:w="533" w:type="dxa"/>
            <w:vAlign w:val="center"/>
          </w:tcPr>
          <w:p>
            <w:pPr>
              <w:shd w:val="clear" w:color="auto" w:fill="C7DAF1" w:themeFill="text2" w:themeFillTint="32"/>
              <w:rPr>
                <w:color w:val="000000" w:themeColor="text1"/>
                <w:highlight w:val="none"/>
                <w:lang w:eastAsia="ja-JP"/>
              </w:rPr>
            </w:pPr>
          </w:p>
        </w:tc>
        <w:tc>
          <w:tcPr>
            <w:tcW w:w="642" w:type="dxa"/>
            <w:vAlign w:val="center"/>
          </w:tcPr>
          <w:p>
            <w:pPr>
              <w:shd w:val="clear" w:color="auto" w:fill="C7DAF1" w:themeFill="text2" w:themeFillTint="32"/>
              <w:rPr>
                <w:color w:val="000000" w:themeColor="text1"/>
                <w:highlight w:val="none"/>
                <w:lang w:eastAsia="ja-JP"/>
              </w:rPr>
            </w:pPr>
          </w:p>
        </w:tc>
        <w:tc>
          <w:tcPr>
            <w:tcW w:w="731" w:type="dxa"/>
            <w:vAlign w:val="center"/>
          </w:tcPr>
          <w:p>
            <w:pPr>
              <w:shd w:val="clear" w:color="auto" w:fill="C7DAF1" w:themeFill="text2" w:themeFillTint="32"/>
              <w:rPr>
                <w:color w:val="000000" w:themeColor="text1"/>
                <w:highlight w:val="none"/>
                <w:lang w:eastAsia="ja-JP"/>
              </w:rPr>
            </w:pPr>
          </w:p>
        </w:tc>
        <w:tc>
          <w:tcPr>
            <w:tcW w:w="638"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740" w:type="dxa"/>
            <w:shd w:val="pct25" w:color="auto" w:fill="auto"/>
            <w:vAlign w:val="center"/>
          </w:tcPr>
          <w:p>
            <w:pPr>
              <w:shd w:val="clear" w:color="auto" w:fill="C7DAF1" w:themeFill="text2" w:themeFillTint="32"/>
              <w:rPr>
                <w:color w:val="000000" w:themeColor="text1"/>
                <w:highlight w:val="none"/>
                <w:lang w:eastAsia="ja-JP"/>
              </w:rPr>
            </w:pPr>
          </w:p>
        </w:tc>
        <w:tc>
          <w:tcPr>
            <w:tcW w:w="741" w:type="dxa"/>
            <w:shd w:val="pct25" w:color="auto" w:fill="auto"/>
            <w:vAlign w:val="center"/>
          </w:tcPr>
          <w:p>
            <w:pPr>
              <w:shd w:val="clear" w:color="auto" w:fill="C7DAF1" w:themeFill="text2" w:themeFillTint="32"/>
              <w:rPr>
                <w:color w:val="000000" w:themeColor="text1"/>
                <w:highlight w:val="none"/>
                <w:lang w:eastAsia="ja-JP"/>
              </w:rPr>
            </w:pPr>
          </w:p>
        </w:tc>
        <w:tc>
          <w:tcPr>
            <w:tcW w:w="560" w:type="dxa"/>
            <w:shd w:val="pct25" w:color="auto" w:fill="auto"/>
            <w:vAlign w:val="center"/>
          </w:tcPr>
          <w:p>
            <w:pPr>
              <w:shd w:val="clear" w:color="auto" w:fill="C7DAF1" w:themeFill="text2" w:themeFillTint="32"/>
              <w:rPr>
                <w:color w:val="000000" w:themeColor="text1"/>
                <w:highlight w:val="none"/>
                <w:lang w:eastAsia="ja-JP"/>
              </w:rPr>
            </w:pPr>
          </w:p>
        </w:tc>
        <w:tc>
          <w:tcPr>
            <w:tcW w:w="1011" w:type="dxa"/>
            <w:shd w:val="pct25" w:color="auto" w:fill="auto"/>
            <w:vAlign w:val="center"/>
          </w:tcPr>
          <w:p>
            <w:pPr>
              <w:shd w:val="clear" w:color="auto" w:fill="C7DAF1" w:themeFill="text2" w:themeFillTint="32"/>
              <w:rPr>
                <w:color w:val="000000" w:themeColor="text1"/>
                <w:highlight w:val="none"/>
                <w:lang w:eastAsia="ja-JP"/>
              </w:rPr>
            </w:pPr>
          </w:p>
        </w:tc>
        <w:tc>
          <w:tcPr>
            <w:tcW w:w="644" w:type="dxa"/>
            <w:shd w:val="pct25" w:color="auto" w:fill="auto"/>
            <w:vAlign w:val="center"/>
          </w:tcPr>
          <w:p>
            <w:pPr>
              <w:shd w:val="clear" w:color="auto" w:fill="C7DAF1" w:themeFill="text2" w:themeFillTint="32"/>
              <w:rPr>
                <w:color w:val="000000" w:themeColor="text1"/>
                <w:highlight w:val="none"/>
                <w:lang w:eastAsia="ja-JP"/>
              </w:rPr>
            </w:pPr>
          </w:p>
        </w:tc>
        <w:tc>
          <w:tcPr>
            <w:tcW w:w="556" w:type="dxa"/>
            <w:shd w:val="pct25" w:color="auto" w:fill="auto"/>
            <w:vAlign w:val="center"/>
          </w:tcPr>
          <w:p>
            <w:pPr>
              <w:shd w:val="clear" w:color="auto" w:fill="C7DAF1" w:themeFill="text2" w:themeFillTint="32"/>
              <w:rPr>
                <w:color w:val="000000" w:themeColor="text1"/>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826B23"/>
    <w:rsid w:val="030B096A"/>
    <w:rsid w:val="3789729E"/>
    <w:rsid w:val="390453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9</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2021-12-15T08:15:25Z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