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陈兴平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雅安市嘉玉农业有限公司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2021年12月19日 下午至2021年12月20日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2021年12月20日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C6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2021-12-18T13:29:58Z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