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1299-2021-QEO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雅安市嘉玉农业有限公司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2021年12月19日 下午至2021年12月20日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p>
            <w:pPr>
              <w:spacing w:line="240" w:lineRule="exact"/>
              <w:jc w:val="center"/>
              <w:rPr>
                <w:b/>
                <w:color w:val="000000"/>
                <w:szCs w:val="21"/>
              </w:rPr>
            </w:pPr>
            <w:r>
              <w:rPr>
                <w:b/>
                <w:color w:val="000000"/>
                <w:szCs w:val="21"/>
              </w:rPr>
              <w:t>2019-N1EMS-1242345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陈兴平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ISC-JSZJ-409</w:t>
            </w:r>
          </w:p>
          <w:p>
            <w:pPr>
              <w:spacing w:line="240" w:lineRule="exact"/>
              <w:jc w:val="center"/>
              <w:rPr>
                <w:b/>
                <w:color w:val="000000"/>
                <w:szCs w:val="21"/>
              </w:rPr>
            </w:pPr>
            <w:r>
              <w:rPr>
                <w:b/>
                <w:color w:val="000000"/>
                <w:szCs w:val="21"/>
              </w:rPr>
              <w:t>ISC-JSZJ-409</w:t>
            </w:r>
          </w:p>
          <w:p>
            <w:pPr>
              <w:spacing w:line="240" w:lineRule="exact"/>
              <w:jc w:val="center"/>
              <w:rPr>
                <w:b/>
                <w:color w:val="000000"/>
                <w:szCs w:val="21"/>
              </w:rPr>
            </w:pPr>
            <w:r>
              <w:rPr>
                <w:b/>
                <w:color w:val="000000"/>
                <w:szCs w:val="21"/>
              </w:rPr>
              <w:t>ISC-JSZJ-409</w:t>
            </w:r>
          </w:p>
          <w:p>
            <w:pPr>
              <w:spacing w:line="240" w:lineRule="exact"/>
              <w:jc w:val="center"/>
              <w:rPr>
                <w:b/>
                <w:color w:val="000000"/>
                <w:szCs w:val="21"/>
              </w:rPr>
            </w:pPr>
            <w:r>
              <w:rPr>
                <w:b/>
                <w:color w:val="000000"/>
                <w:szCs w:val="21"/>
              </w:rPr>
              <w:t>四川嘉普信工程技术咨询有限公司</w:t>
            </w:r>
          </w:p>
        </w:tc>
        <w:tc>
          <w:tcPr>
            <w:tcW w:w="1140" w:type="dxa"/>
            <w:vAlign w:val="center"/>
          </w:tcPr>
          <w:p>
            <w:pPr>
              <w:spacing w:line="240" w:lineRule="exact"/>
              <w:jc w:val="center"/>
              <w:rPr>
                <w:b/>
                <w:color w:val="000000"/>
                <w:szCs w:val="21"/>
              </w:rPr>
            </w:pPr>
            <w:r>
              <w:rPr>
                <w:b/>
                <w:color w:val="000000"/>
                <w:szCs w:val="21"/>
              </w:rPr>
              <w:t>Q:01.03.00</w:t>
            </w:r>
          </w:p>
          <w:p>
            <w:pPr>
              <w:spacing w:line="240" w:lineRule="exact"/>
              <w:jc w:val="center"/>
              <w:rPr>
                <w:b/>
                <w:color w:val="000000"/>
                <w:szCs w:val="21"/>
              </w:rPr>
            </w:pPr>
            <w:r>
              <w:rPr>
                <w:b/>
                <w:color w:val="000000"/>
                <w:szCs w:val="21"/>
              </w:rPr>
              <w:t>E:01.03.00</w:t>
            </w:r>
          </w:p>
          <w:p>
            <w:pPr>
              <w:spacing w:line="240" w:lineRule="exact"/>
              <w:jc w:val="center"/>
              <w:rPr>
                <w:b/>
                <w:color w:val="000000"/>
                <w:szCs w:val="21"/>
              </w:rPr>
            </w:pPr>
            <w:r>
              <w:rPr>
                <w:b/>
                <w:color w:val="000000"/>
                <w:szCs w:val="21"/>
              </w:rPr>
              <w:t>O:01.03.00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雅安市嘉玉农业有限公司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四川省雅安市雨城区上里镇建新村11组43号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四川省雅安市雨城区上里镇建新村11组43号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625000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胥光金</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13568121188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胥光金</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程叔萍</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rPr>
                <w:sz w:val="18"/>
                <w:szCs w:val="21"/>
              </w:rPr>
            </w:pPr>
            <w:r>
              <w:rPr>
                <w:rFonts w:hint="eastAsia" w:ascii="宋体" w:hAnsi="宋体"/>
                <w:b/>
                <w:color w:val="000000"/>
                <w:szCs w:val="21"/>
              </w:rPr>
              <w:t>产品：</w:t>
            </w:r>
            <w:bookmarkStart w:id="35" w:name="审核范围"/>
            <w:r>
              <w:rPr>
                <w:sz w:val="18"/>
                <w:szCs w:val="21"/>
              </w:rPr>
              <w:t>Q：资质许可范围内造林苗木、经济林苗木、城镇绿化苗木的种植及销售</w:t>
            </w:r>
          </w:p>
          <w:p>
            <w:pPr>
              <w:rPr>
                <w:sz w:val="18"/>
                <w:szCs w:val="21"/>
              </w:rPr>
            </w:pPr>
            <w:r>
              <w:rPr>
                <w:sz w:val="18"/>
                <w:szCs w:val="21"/>
              </w:rPr>
              <w:t>E：资质许可范围内造林苗木、经济林苗木、城镇绿化苗木的种植及销售所涉及场所的相关环境管理活动</w:t>
            </w:r>
          </w:p>
          <w:p>
            <w:pPr>
              <w:tabs>
                <w:tab w:val="left" w:pos="360"/>
              </w:tabs>
              <w:ind w:left="360" w:hanging="360"/>
              <w:rPr>
                <w:rFonts w:ascii="宋体" w:hAnsi="宋体"/>
                <w:b/>
                <w:color w:val="000000"/>
                <w:szCs w:val="21"/>
              </w:rPr>
            </w:pPr>
            <w:r>
              <w:rPr>
                <w:sz w:val="18"/>
                <w:szCs w:val="21"/>
              </w:rPr>
              <w:t>O：资质许可范围内造林苗木、经济林苗木、城镇绿化苗木的种植及销售所涉及场所的相关职业健康安全管理活动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土地整理→栽幼苗→管理（施肥、浇水、除草、疏枝、修剪、病虫害防治）→检验→挖掘包装→交付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18"/>
                <w:szCs w:val="21"/>
              </w:rPr>
              <w:t>资质许可范围内造林苗木、经济林苗木、城镇绿化苗木的种植及销售</w:t>
            </w:r>
          </w:p>
        </w:tc>
        <w:tc>
          <w:tcPr>
            <w:tcW w:w="2006" w:type="dxa"/>
            <w:gridSpan w:val="3"/>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18"/>
                <w:szCs w:val="21"/>
              </w:rPr>
              <w:t>资质许可范围内造林苗木、经济林苗木、城镇绿化苗木的种植及销售所涉及场所的相关环境管理活动</w:t>
            </w:r>
          </w:p>
        </w:tc>
        <w:tc>
          <w:tcPr>
            <w:tcW w:w="2006" w:type="dxa"/>
            <w:gridSpan w:val="3"/>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18"/>
                <w:szCs w:val="21"/>
              </w:rPr>
              <w:t>资质许可范围内造林苗木、经济林苗木、城镇绿化苗木的种植及销售所涉及场所的相关职业健康安全管理活动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37"/>
        <w:gridCol w:w="924"/>
        <w:gridCol w:w="540"/>
        <w:gridCol w:w="4404"/>
        <w:gridCol w:w="157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13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9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4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4404"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7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137" w:type="dxa"/>
          </w:tcPr>
          <w:p>
            <w:pPr>
              <w:spacing w:before="40" w:after="40"/>
              <w:rPr>
                <w:rFonts w:hint="eastAsia" w:eastAsia="宋体"/>
                <w:sz w:val="18"/>
                <w:szCs w:val="18"/>
                <w:lang w:val="en-US" w:eastAsia="zh-CN"/>
              </w:rPr>
            </w:pPr>
            <w:r>
              <w:rPr>
                <w:sz w:val="18"/>
                <w:szCs w:val="18"/>
              </w:rPr>
              <w:t>雅安市嘉玉农业有限公司</w:t>
            </w:r>
            <w:r>
              <w:rPr>
                <w:rFonts w:hint="eastAsia"/>
                <w:sz w:val="18"/>
                <w:szCs w:val="18"/>
                <w:lang w:val="en-US" w:eastAsia="zh-CN"/>
              </w:rPr>
              <w:t>/</w:t>
            </w:r>
            <w:r>
              <w:rPr>
                <w:sz w:val="18"/>
                <w:szCs w:val="18"/>
              </w:rPr>
              <w:t>四川省雅安市雨城区上里镇建新村11组43号</w:t>
            </w:r>
          </w:p>
        </w:tc>
        <w:tc>
          <w:tcPr>
            <w:tcW w:w="924" w:type="dxa"/>
          </w:tcPr>
          <w:p>
            <w:pPr>
              <w:spacing w:before="40" w:after="40"/>
              <w:rPr>
                <w:rFonts w:eastAsia="黑体"/>
                <w:sz w:val="18"/>
                <w:szCs w:val="18"/>
                <w:lang w:val="de-DE" w:eastAsia="ja-JP"/>
              </w:rPr>
            </w:pPr>
            <w:r>
              <w:rPr>
                <w:sz w:val="18"/>
                <w:szCs w:val="18"/>
              </w:rPr>
              <w:t>四川省雅安市雨城区上里镇建新村11组43号</w:t>
            </w:r>
          </w:p>
        </w:tc>
        <w:tc>
          <w:tcPr>
            <w:tcW w:w="540"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4404" w:type="dxa"/>
            <w:vAlign w:val="center"/>
          </w:tcPr>
          <w:p>
            <w:pPr>
              <w:rPr>
                <w:sz w:val="18"/>
                <w:szCs w:val="21"/>
              </w:rPr>
            </w:pPr>
            <w:r>
              <w:rPr>
                <w:sz w:val="18"/>
                <w:szCs w:val="21"/>
              </w:rPr>
              <w:t>Q：资质许可范围内造林苗木、经济林苗木、城镇绿化苗木的种植及销售</w:t>
            </w:r>
          </w:p>
          <w:p>
            <w:pPr>
              <w:rPr>
                <w:sz w:val="18"/>
                <w:szCs w:val="21"/>
              </w:rPr>
            </w:pPr>
            <w:r>
              <w:rPr>
                <w:sz w:val="18"/>
                <w:szCs w:val="21"/>
              </w:rPr>
              <w:t>E：资质许可范围内造林苗木、经济林苗木、城镇绿化苗木的种植及销售所涉及场所的相关环境管理活动</w:t>
            </w:r>
          </w:p>
          <w:p>
            <w:pPr>
              <w:pStyle w:val="20"/>
              <w:rPr>
                <w:rFonts w:eastAsia="黑体" w:cs="Arial"/>
                <w:sz w:val="21"/>
                <w:szCs w:val="21"/>
                <w:lang w:val="en-US" w:eastAsia="ja-JP"/>
              </w:rPr>
            </w:pPr>
            <w:r>
              <w:rPr>
                <w:sz w:val="18"/>
                <w:szCs w:val="21"/>
              </w:rPr>
              <w:t>O：资质许可范围内造林苗木、经济林苗木、城镇绿化苗木的种植及销售所涉及场所的相关职业健康安全管理活动</w:t>
            </w:r>
          </w:p>
        </w:tc>
        <w:tc>
          <w:tcPr>
            <w:tcW w:w="1572" w:type="dxa"/>
            <w:vAlign w:val="center"/>
          </w:tcPr>
          <w:p>
            <w:pPr>
              <w:jc w:val="left"/>
              <w:rPr>
                <w:rFonts w:ascii="宋体" w:hAnsi="宋体"/>
                <w:b w:val="0"/>
                <w:bCs/>
                <w:sz w:val="18"/>
                <w:szCs w:val="18"/>
              </w:rPr>
            </w:pPr>
            <w:r>
              <w:rPr>
                <w:rFonts w:hint="eastAsia" w:ascii="宋体" w:hAnsi="宋体"/>
                <w:b w:val="0"/>
                <w:bCs/>
                <w:sz w:val="18"/>
                <w:szCs w:val="18"/>
              </w:rPr>
              <w:t>GB/T19001-2016/ISO 9001:2015   GB/T24001-2016/ISO 14001:2015</w:t>
            </w:r>
          </w:p>
          <w:p>
            <w:pPr>
              <w:spacing w:before="40" w:after="40"/>
              <w:rPr>
                <w:rFonts w:ascii="Times New Roman" w:hAnsi="Times New Roman" w:eastAsia="黑体" w:cs="Times New Roman"/>
                <w:b w:val="0"/>
                <w:bCs/>
                <w:kern w:val="2"/>
                <w:sz w:val="18"/>
                <w:szCs w:val="18"/>
                <w:lang w:val="en-US" w:eastAsia="ja-JP" w:bidi="ar-SA"/>
              </w:rPr>
            </w:pPr>
            <w:r>
              <w:rPr>
                <w:rFonts w:hint="eastAsia" w:ascii="宋体" w:hAnsi="宋体"/>
                <w:b w:val="0"/>
                <w:bCs/>
                <w:sz w:val="18"/>
                <w:szCs w:val="18"/>
              </w:rPr>
              <w:t>GB/T45001-2020/ISO45001：2020标准</w:t>
            </w:r>
          </w:p>
        </w:tc>
        <w:tc>
          <w:tcPr>
            <w:tcW w:w="668" w:type="dxa"/>
            <w:shd w:val="clear" w:color="auto" w:fill="FFFFFF"/>
            <w:vAlign w:val="top"/>
          </w:tcPr>
          <w:sdt>
            <w:sdtPr>
              <w:rPr>
                <w:rFonts w:eastAsia="黑体"/>
                <w:b w:val="0"/>
                <w:bCs/>
                <w:sz w:val="18"/>
                <w:szCs w:val="18"/>
              </w:rPr>
              <w:id w:val="271604670"/>
            </w:sdtPr>
            <w:sdtEndPr>
              <w:rPr>
                <w:rFonts w:eastAsia="黑体"/>
                <w:b w:val="0"/>
                <w:bCs/>
                <w:sz w:val="18"/>
                <w:szCs w:val="18"/>
              </w:rPr>
            </w:sdtEndPr>
            <w:sdtContent>
              <w:p>
                <w:pPr>
                  <w:rPr>
                    <w:rFonts w:eastAsia="黑体"/>
                    <w:b w:val="0"/>
                    <w:bCs/>
                    <w:sz w:val="18"/>
                    <w:szCs w:val="18"/>
                  </w:rPr>
                </w:pPr>
                <w:r>
                  <w:rPr>
                    <w:rFonts w:hint="eastAsia" w:ascii="宋体" w:hAnsi="宋体" w:eastAsia="宋体" w:cs="宋体"/>
                    <w:b w:val="0"/>
                    <w:bCs/>
                    <w:sz w:val="18"/>
                    <w:szCs w:val="18"/>
                  </w:rPr>
                  <w:t>■</w:t>
                </w:r>
              </w:p>
            </w:sdtContent>
          </w:sdt>
          <w:p>
            <w:pPr>
              <w:rPr>
                <w:rFonts w:ascii="Times New Roman" w:hAnsi="Times New Roman" w:eastAsia="黑体" w:cs="Times New Roman"/>
                <w:b w:val="0"/>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137" w:type="dxa"/>
            <w:vAlign w:val="top"/>
          </w:tcPr>
          <w:p>
            <w:pPr>
              <w:spacing w:before="40" w:after="40"/>
              <w:rPr>
                <w:rFonts w:hint="eastAsia" w:ascii="Times New Roman" w:hAnsi="Times New Roman" w:eastAsia="宋体" w:cs="Times New Roman"/>
                <w:kern w:val="2"/>
                <w:sz w:val="18"/>
                <w:szCs w:val="18"/>
                <w:lang w:val="en-US" w:eastAsia="ja-JP" w:bidi="ar-SA"/>
              </w:rPr>
            </w:pPr>
            <w:r>
              <w:rPr>
                <w:sz w:val="18"/>
                <w:szCs w:val="18"/>
              </w:rPr>
              <w:t>雅安市嘉玉农业有限公司</w:t>
            </w:r>
            <w:r>
              <w:rPr>
                <w:rFonts w:hint="eastAsia"/>
                <w:sz w:val="18"/>
                <w:szCs w:val="18"/>
                <w:lang w:val="en-US" w:eastAsia="zh-CN"/>
              </w:rPr>
              <w:t>/</w:t>
            </w:r>
            <w:r>
              <w:rPr>
                <w:sz w:val="18"/>
                <w:szCs w:val="18"/>
              </w:rPr>
              <w:t>四川省雅安市雨城区上里镇建新村11组43号</w:t>
            </w:r>
          </w:p>
        </w:tc>
        <w:tc>
          <w:tcPr>
            <w:tcW w:w="924" w:type="dxa"/>
            <w:vAlign w:val="center"/>
          </w:tcPr>
          <w:p>
            <w:pPr>
              <w:spacing w:before="40" w:after="40"/>
              <w:rPr>
                <w:rFonts w:eastAsia="黑体"/>
                <w:sz w:val="18"/>
                <w:szCs w:val="18"/>
                <w:lang w:eastAsia="ja-JP"/>
              </w:rPr>
            </w:pPr>
            <w:r>
              <w:rPr>
                <w:sz w:val="18"/>
                <w:szCs w:val="18"/>
              </w:rPr>
              <w:t>四川省雅安市雨城区上里镇建新村8组</w:t>
            </w:r>
          </w:p>
        </w:tc>
        <w:tc>
          <w:tcPr>
            <w:tcW w:w="540" w:type="dxa"/>
            <w:vAlign w:val="center"/>
          </w:tcPr>
          <w:p>
            <w:pPr>
              <w:spacing w:before="40" w:after="40"/>
              <w:rPr>
                <w:rFonts w:hint="eastAsia" w:eastAsia="黑体"/>
                <w:szCs w:val="21"/>
                <w:lang w:val="en-US" w:eastAsia="zh-CN"/>
              </w:rPr>
            </w:pPr>
            <w:r>
              <w:rPr>
                <w:rFonts w:hint="eastAsia" w:eastAsia="黑体"/>
                <w:szCs w:val="21"/>
                <w:lang w:val="en-US" w:eastAsia="zh-CN"/>
              </w:rPr>
              <w:t>3</w:t>
            </w:r>
          </w:p>
        </w:tc>
        <w:tc>
          <w:tcPr>
            <w:tcW w:w="4404" w:type="dxa"/>
            <w:vAlign w:val="center"/>
          </w:tcPr>
          <w:p>
            <w:pPr>
              <w:rPr>
                <w:sz w:val="18"/>
                <w:szCs w:val="21"/>
              </w:rPr>
            </w:pPr>
            <w:r>
              <w:rPr>
                <w:sz w:val="18"/>
                <w:szCs w:val="21"/>
              </w:rPr>
              <w:t>Q：资质许可范围内造林苗木、经济林苗木、城镇绿化苗木的种植及销售</w:t>
            </w:r>
          </w:p>
          <w:p>
            <w:pPr>
              <w:rPr>
                <w:sz w:val="18"/>
                <w:szCs w:val="21"/>
              </w:rPr>
            </w:pPr>
            <w:r>
              <w:rPr>
                <w:sz w:val="18"/>
                <w:szCs w:val="21"/>
              </w:rPr>
              <w:t>E：资质许可范围内造林苗木、经济林苗木、城镇绿化苗木的种植及销售所涉及场所的相关环境管理活动</w:t>
            </w:r>
          </w:p>
          <w:p>
            <w:pPr>
              <w:spacing w:before="40" w:after="40"/>
              <w:rPr>
                <w:rFonts w:eastAsia="黑体"/>
                <w:szCs w:val="21"/>
                <w:lang w:eastAsia="ja-JP"/>
              </w:rPr>
            </w:pPr>
            <w:r>
              <w:rPr>
                <w:sz w:val="18"/>
                <w:szCs w:val="21"/>
              </w:rPr>
              <w:t>O：资质许可范围内造林苗木、经济林苗木、城镇绿化苗木的种植及销售所涉及场所的相关职业健康安全管理活动</w:t>
            </w:r>
          </w:p>
        </w:tc>
        <w:tc>
          <w:tcPr>
            <w:tcW w:w="1572" w:type="dxa"/>
            <w:vAlign w:val="center"/>
          </w:tcPr>
          <w:p>
            <w:pPr>
              <w:jc w:val="left"/>
              <w:rPr>
                <w:rFonts w:ascii="宋体" w:hAnsi="宋体"/>
                <w:b w:val="0"/>
                <w:bCs/>
                <w:sz w:val="18"/>
                <w:szCs w:val="18"/>
              </w:rPr>
            </w:pPr>
            <w:r>
              <w:rPr>
                <w:rFonts w:hint="eastAsia" w:ascii="宋体" w:hAnsi="宋体"/>
                <w:b w:val="0"/>
                <w:bCs/>
                <w:sz w:val="18"/>
                <w:szCs w:val="18"/>
              </w:rPr>
              <w:t>GB/T19001-2016/ISO 9001:2015   GB/T24001-2016/ISO 14001:2015</w:t>
            </w:r>
          </w:p>
          <w:p>
            <w:pPr>
              <w:spacing w:before="40" w:after="40"/>
              <w:rPr>
                <w:rFonts w:ascii="Times New Roman" w:hAnsi="Times New Roman" w:eastAsia="黑体" w:cs="Times New Roman"/>
                <w:b w:val="0"/>
                <w:bCs/>
                <w:kern w:val="2"/>
                <w:sz w:val="18"/>
                <w:szCs w:val="18"/>
                <w:lang w:val="en-US" w:eastAsia="ja-JP" w:bidi="ar-SA"/>
              </w:rPr>
            </w:pPr>
            <w:r>
              <w:rPr>
                <w:rFonts w:hint="eastAsia" w:ascii="宋体" w:hAnsi="宋体"/>
                <w:b w:val="0"/>
                <w:bCs/>
                <w:sz w:val="18"/>
                <w:szCs w:val="18"/>
              </w:rPr>
              <w:t>GB/T45001-2020/ISO45001：2020标准</w:t>
            </w:r>
          </w:p>
        </w:tc>
        <w:tc>
          <w:tcPr>
            <w:tcW w:w="668" w:type="dxa"/>
            <w:shd w:val="clear" w:color="auto" w:fill="FFFFFF"/>
            <w:vAlign w:val="top"/>
          </w:tcPr>
          <w:sdt>
            <w:sdtPr>
              <w:rPr>
                <w:rFonts w:eastAsia="黑体"/>
                <w:b w:val="0"/>
                <w:bCs/>
                <w:sz w:val="18"/>
                <w:szCs w:val="18"/>
              </w:rPr>
              <w:id w:val="1360237495"/>
            </w:sdtPr>
            <w:sdtEndPr>
              <w:rPr>
                <w:rFonts w:eastAsia="黑体"/>
                <w:b w:val="0"/>
                <w:bCs/>
                <w:sz w:val="18"/>
                <w:szCs w:val="18"/>
              </w:rPr>
            </w:sdtEndPr>
            <w:sdtContent>
              <w:p>
                <w:pPr>
                  <w:rPr>
                    <w:rFonts w:eastAsia="黑体"/>
                    <w:b w:val="0"/>
                    <w:bCs/>
                    <w:sz w:val="18"/>
                    <w:szCs w:val="18"/>
                  </w:rPr>
                </w:pPr>
                <w:r>
                  <w:rPr>
                    <w:rFonts w:hint="eastAsia" w:ascii="宋体" w:hAnsi="宋体" w:eastAsia="宋体" w:cs="宋体"/>
                    <w:b w:val="0"/>
                    <w:bCs/>
                    <w:sz w:val="18"/>
                    <w:szCs w:val="18"/>
                  </w:rPr>
                  <w:t>■</w:t>
                </w:r>
              </w:p>
            </w:sdtContent>
          </w:sdt>
          <w:p>
            <w:pPr>
              <w:rPr>
                <w:rFonts w:ascii="Times New Roman" w:hAnsi="Times New Roman" w:eastAsia="黑体" w:cs="Times New Roman"/>
                <w:b w:val="0"/>
                <w:bCs/>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137" w:type="dxa"/>
            <w:vAlign w:val="center"/>
          </w:tcPr>
          <w:p>
            <w:pPr>
              <w:spacing w:before="40" w:after="40"/>
              <w:rPr>
                <w:rFonts w:eastAsia="黑体"/>
                <w:szCs w:val="21"/>
                <w:lang w:eastAsia="ja-JP"/>
              </w:rPr>
            </w:pPr>
          </w:p>
        </w:tc>
        <w:tc>
          <w:tcPr>
            <w:tcW w:w="924"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4404" w:type="dxa"/>
            <w:vAlign w:val="center"/>
          </w:tcPr>
          <w:p>
            <w:pPr>
              <w:spacing w:before="40" w:after="40"/>
              <w:rPr>
                <w:rFonts w:eastAsia="黑体"/>
                <w:szCs w:val="21"/>
                <w:lang w:eastAsia="ja-JP"/>
              </w:rPr>
            </w:pPr>
          </w:p>
        </w:tc>
        <w:tc>
          <w:tcPr>
            <w:tcW w:w="1572"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137" w:type="dxa"/>
            <w:vAlign w:val="center"/>
          </w:tcPr>
          <w:p>
            <w:pPr>
              <w:spacing w:before="40" w:after="40"/>
              <w:rPr>
                <w:rFonts w:eastAsia="黑体"/>
                <w:szCs w:val="21"/>
                <w:lang w:eastAsia="ja-JP"/>
              </w:rPr>
            </w:pPr>
          </w:p>
        </w:tc>
        <w:tc>
          <w:tcPr>
            <w:tcW w:w="924"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4404" w:type="dxa"/>
            <w:vAlign w:val="center"/>
          </w:tcPr>
          <w:p>
            <w:pPr>
              <w:spacing w:before="40" w:after="40"/>
              <w:rPr>
                <w:rFonts w:eastAsia="黑体"/>
                <w:szCs w:val="21"/>
                <w:lang w:eastAsia="ja-JP"/>
              </w:rPr>
            </w:pPr>
          </w:p>
        </w:tc>
        <w:tc>
          <w:tcPr>
            <w:tcW w:w="1572"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137" w:type="dxa"/>
            <w:vAlign w:val="center"/>
          </w:tcPr>
          <w:p>
            <w:pPr>
              <w:spacing w:before="40" w:after="40"/>
              <w:rPr>
                <w:rFonts w:eastAsia="黑体"/>
                <w:szCs w:val="21"/>
                <w:lang w:eastAsia="ja-JP"/>
              </w:rPr>
            </w:pPr>
          </w:p>
        </w:tc>
        <w:tc>
          <w:tcPr>
            <w:tcW w:w="924" w:type="dxa"/>
            <w:vAlign w:val="center"/>
          </w:tcPr>
          <w:p>
            <w:pPr>
              <w:spacing w:before="40" w:after="40"/>
              <w:rPr>
                <w:rFonts w:eastAsia="黑体"/>
                <w:szCs w:val="21"/>
                <w:lang w:eastAsia="ja-JP"/>
              </w:rPr>
            </w:pPr>
          </w:p>
        </w:tc>
        <w:tc>
          <w:tcPr>
            <w:tcW w:w="540" w:type="dxa"/>
            <w:vAlign w:val="center"/>
          </w:tcPr>
          <w:p>
            <w:pPr>
              <w:spacing w:before="40" w:after="40"/>
              <w:rPr>
                <w:rFonts w:eastAsia="黑体"/>
                <w:szCs w:val="21"/>
                <w:lang w:eastAsia="ja-JP"/>
              </w:rPr>
            </w:pPr>
          </w:p>
        </w:tc>
        <w:tc>
          <w:tcPr>
            <w:tcW w:w="4404" w:type="dxa"/>
            <w:vAlign w:val="center"/>
          </w:tcPr>
          <w:p>
            <w:pPr>
              <w:spacing w:before="40" w:after="40"/>
              <w:rPr>
                <w:rFonts w:eastAsia="黑体"/>
                <w:szCs w:val="21"/>
                <w:lang w:eastAsia="ja-JP"/>
              </w:rPr>
            </w:pPr>
          </w:p>
        </w:tc>
        <w:tc>
          <w:tcPr>
            <w:tcW w:w="1572"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移植过程</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移植过程</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2021-12-</w:t>
            </w:r>
            <w:bookmarkEnd w:id="36"/>
            <w:r>
              <w:rPr>
                <w:rFonts w:hint="eastAsia" w:ascii="宋体"/>
                <w:b/>
                <w:color w:val="000000"/>
                <w:szCs w:val="21"/>
                <w:lang w:val="en-US" w:eastAsia="zh-CN"/>
              </w:rPr>
              <w:t>21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sz w:val="18"/>
                <w:szCs w:val="21"/>
              </w:rPr>
              <w:t>资质许可范围内造林苗木、经济林苗木、城镇绿化苗木的种植及销售</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sz w:val="18"/>
                <w:szCs w:val="21"/>
              </w:rPr>
              <w:t>资质许可范围内造林苗木、经济林苗木、城镇绿化苗木的种植及销售所涉及场所的相关环境管理活动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sz w:val="18"/>
                <w:szCs w:val="21"/>
              </w:rPr>
              <w:t>资质许可范围内造林苗木、经济林苗木、城镇绿化苗木的种植及销售所涉及场所的相关职业健康安全管理活动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sz w:val="20"/>
              </w:rPr>
              <w:t>01.03.00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bookmarkStart w:id="37" w:name="_GoBack"/>
            <w:bookmarkEnd w:id="37"/>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88D01E4"/>
    <w:rsid w:val="65071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2021-12-22T15:20:18Z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