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宝鸡瑞达消失模有限公司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 w:val="24"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 w:val="24"/>
                <w:lang w:val="en-US" w:eastAsia="zh-CN"/>
              </w:rPr>
              <w:t>张云良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 w:val="24"/>
                <w:lang w:val="en-US" w:eastAsia="zh-CN"/>
              </w:rPr>
              <w:t>2021.12.14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现场查看顾客财产登记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情况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  <w:r>
              <w:rPr>
                <w:rFonts w:hint="eastAsia" w:ascii="方正仿宋简体" w:eastAsia="方正仿宋简体"/>
                <w:b/>
              </w:rPr>
              <w:t>未能提供相关资料证实。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  <w:bookmarkStart w:id="19" w:name="_GoBack"/>
            <w:bookmarkEnd w:id="19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14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014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现场查看顾客财产登记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情况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  <w:r>
              <w:rPr>
                <w:rFonts w:hint="eastAsia" w:ascii="方正仿宋简体" w:eastAsia="方正仿宋简体"/>
                <w:b/>
              </w:rPr>
              <w:t>未能提供相关资料证实。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014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由供销部填写《顾客财产登记表》，把顾客的信息等顾客相关财产登录在册，并由专人保管</w:t>
            </w:r>
            <w:r>
              <w:rPr>
                <w:rFonts w:hint="eastAsia" w:eastAsia="方正仿宋简体"/>
                <w:b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014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/>
                <w:b/>
                <w:szCs w:val="21"/>
              </w:rPr>
              <w:t>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014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014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1014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D21E4"/>
    <w:rsid w:val="077741FC"/>
    <w:rsid w:val="18F57676"/>
    <w:rsid w:val="3DDF2C83"/>
    <w:rsid w:val="4A484FA8"/>
    <w:rsid w:val="58B33511"/>
    <w:rsid w:val="73016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2021-12-13T03:32:24Z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