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0615-2019-E-2021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宝鸡瑞达消失模有限公司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宝鸡瑞达消失模有限公司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陕西省宝鸡市陈仓区东关大王村</w:t>
            </w:r>
            <w:bookmarkEnd w:id="6"/>
          </w:p>
        </w:tc>
        <w:tc>
          <w:tcPr>
            <w:tcW w:w="1242" w:type="dxa"/>
            <w:vMerge w:val="restart"/>
            <w:vAlign w:val="center"/>
          </w:tcPr>
          <w:p>
            <w:r>
              <w:rPr>
                <w:rFonts w:hint="eastAsia"/>
              </w:rPr>
              <w:t>邮编</w:t>
            </w:r>
          </w:p>
        </w:tc>
        <w:tc>
          <w:tcPr>
            <w:tcW w:w="1771" w:type="dxa"/>
          </w:tcPr>
          <w:p>
            <w:bookmarkStart w:id="7" w:name="注册邮编"/>
            <w:r>
              <w:t>721303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陕西省宝鸡市陈仓区东关大王村</w:t>
            </w:r>
            <w:bookmarkEnd w:id="8"/>
          </w:p>
        </w:tc>
        <w:tc>
          <w:tcPr>
            <w:tcW w:w="1242" w:type="dxa"/>
            <w:vMerge w:val="continue"/>
            <w:vAlign w:val="center"/>
          </w:tcPr>
          <w:p/>
        </w:tc>
        <w:tc>
          <w:tcPr>
            <w:tcW w:w="1771" w:type="dxa"/>
          </w:tcPr>
          <w:p>
            <w:bookmarkStart w:id="9" w:name="办公邮编"/>
            <w:r>
              <w:t>721303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张云良</w:t>
            </w:r>
            <w:bookmarkEnd w:id="10"/>
          </w:p>
        </w:tc>
        <w:tc>
          <w:tcPr>
            <w:tcW w:w="1313" w:type="dxa"/>
            <w:vAlign w:val="center"/>
          </w:tcPr>
          <w:p>
            <w:r>
              <w:rPr>
                <w:rFonts w:hint="eastAsia"/>
              </w:rPr>
              <w:t>电话.</w:t>
            </w:r>
          </w:p>
        </w:tc>
        <w:tc>
          <w:tcPr>
            <w:tcW w:w="2180" w:type="dxa"/>
            <w:vAlign w:val="center"/>
          </w:tcPr>
          <w:p>
            <w:bookmarkStart w:id="11" w:name="联系人电话"/>
            <w:r>
              <w:t>18391757717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张云良</w:t>
            </w:r>
            <w:bookmarkEnd w:id="13"/>
          </w:p>
        </w:tc>
        <w:tc>
          <w:tcPr>
            <w:tcW w:w="1313" w:type="dxa"/>
            <w:vAlign w:val="center"/>
          </w:tcPr>
          <w:p>
            <w:r>
              <w:rPr>
                <w:rFonts w:hint="eastAsia"/>
              </w:rPr>
              <w:t>管理者代表</w:t>
            </w:r>
          </w:p>
        </w:tc>
        <w:tc>
          <w:tcPr>
            <w:tcW w:w="2180" w:type="dxa"/>
          </w:tcPr>
          <w:p>
            <w:bookmarkStart w:id="14" w:name="管理者代表"/>
            <w:r>
              <w:t>张  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来料检验→车工工序（内外径、平面、止口）→加工中心（钻孔、镗孔、铣孔）→摇臂钻加工（惚孔、攻丝）→清洗、检验、包装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2021年12月13日 上午至2021年12月13日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陕西省宝鸡市陈仓区东关大王村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E：机械（汽车零配件）的加工（铸、造冶炼除外）及其所涉及的环境管理活动</w:t>
            </w:r>
          </w:p>
          <w:p>
            <w:r>
              <w:t>Q：机械（汽车零配件）的加工（铸、造冶炼除外）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E：17.10.02</w:t>
            </w:r>
          </w:p>
          <w:p>
            <w:r>
              <w:t>Q：17.10.02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宝鸡瑞达消失模有限公司</w:t>
            </w:r>
            <w:r>
              <w:rPr>
                <w:rFonts w:hint="eastAsia"/>
                <w:lang w:val="en-US" w:eastAsia="zh-CN"/>
              </w:rPr>
              <w:t>/</w:t>
            </w:r>
            <w:r>
              <w:rPr>
                <w:rFonts w:hint="eastAsia"/>
                <w:lang w:val="de-DE" w:eastAsia="ja-JP"/>
              </w:rPr>
              <w:t>陕西省宝鸡市陈仓区东关大王村</w:t>
            </w:r>
          </w:p>
        </w:tc>
        <w:tc>
          <w:tcPr>
            <w:tcW w:w="2267" w:type="dxa"/>
          </w:tcPr>
          <w:p>
            <w:pPr>
              <w:rPr>
                <w:lang w:val="de-DE" w:eastAsia="ja-JP"/>
              </w:rPr>
            </w:pPr>
            <w:r>
              <w:rPr>
                <w:rFonts w:hint="eastAsia"/>
                <w:lang w:val="de-DE" w:eastAsia="ja-JP"/>
              </w:rPr>
              <w:t>陕西省宝鸡市陈仓区东关大王村</w:t>
            </w:r>
          </w:p>
        </w:tc>
        <w:tc>
          <w:tcPr>
            <w:tcW w:w="571" w:type="dxa"/>
            <w:vAlign w:val="center"/>
          </w:tcPr>
          <w:p>
            <w:pPr>
              <w:rPr>
                <w:rFonts w:hint="default" w:eastAsia="宋体"/>
                <w:lang w:val="en-US" w:eastAsia="zh-CN"/>
              </w:rPr>
            </w:pPr>
            <w:r>
              <w:rPr>
                <w:rFonts w:hint="eastAsia"/>
                <w:lang w:val="en-US" w:eastAsia="zh-CN"/>
              </w:rPr>
              <w:t>57</w:t>
            </w:r>
          </w:p>
        </w:tc>
        <w:tc>
          <w:tcPr>
            <w:tcW w:w="2803" w:type="dxa"/>
            <w:vAlign w:val="center"/>
          </w:tcPr>
          <w:p>
            <w:pPr>
              <w:rPr>
                <w:rFonts w:hint="eastAsia"/>
                <w:lang w:eastAsia="ja-JP"/>
              </w:rPr>
            </w:pPr>
            <w:r>
              <w:rPr>
                <w:rFonts w:hint="eastAsia"/>
                <w:lang w:eastAsia="ja-JP"/>
              </w:rPr>
              <w:t>E：机械（汽车零配件）的加工（铸、造冶炼除外）及其所涉及的环境管理活动</w:t>
            </w:r>
          </w:p>
          <w:p>
            <w:pPr>
              <w:rPr>
                <w:lang w:eastAsia="ja-JP"/>
              </w:rPr>
            </w:pPr>
            <w:r>
              <w:rPr>
                <w:rFonts w:hint="eastAsia"/>
                <w:lang w:eastAsia="ja-JP"/>
              </w:rPr>
              <w:t>Q：机械（汽车零配件）的加工（铸、造冶炼除外）</w:t>
            </w:r>
          </w:p>
        </w:tc>
        <w:tc>
          <w:tcPr>
            <w:tcW w:w="669" w:type="dxa"/>
            <w:vAlign w:val="center"/>
          </w:tcPr>
          <w:p>
            <w:pPr>
              <w:rPr>
                <w:lang w:eastAsia="ja-JP"/>
              </w:rPr>
            </w:pPr>
            <w:r>
              <w:rPr>
                <w:rFonts w:hint="eastAsia"/>
                <w:lang w:eastAsia="ja-JP"/>
              </w:rPr>
              <w:t>GB/T19001-2016/GB/T24001-2016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2021-N1QMS-2222792</w:t>
            </w:r>
          </w:p>
        </w:tc>
        <w:tc>
          <w:tcPr>
            <w:tcW w:w="2179" w:type="dxa"/>
            <w:vAlign w:val="center"/>
          </w:tcPr>
          <w:p>
            <w:r>
              <w:t>E:17.10.02</w:t>
            </w:r>
          </w:p>
          <w:p>
            <w:r>
              <w:t>Q:17.10.02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p>
            <w:r>
              <w:t>2021-N1QMS-1263290</w:t>
            </w:r>
          </w:p>
        </w:tc>
        <w:tc>
          <w:tcPr>
            <w:tcW w:w="2179" w:type="dxa"/>
            <w:vAlign w:val="center"/>
          </w:tcPr>
          <w:p>
            <w:r>
              <w:t>E:17.10.02</w:t>
            </w:r>
          </w:p>
          <w:p>
            <w:r>
              <w:t>Q:17.10.02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冯力</w:t>
            </w:r>
          </w:p>
        </w:tc>
        <w:tc>
          <w:tcPr>
            <w:tcW w:w="1089" w:type="dxa"/>
            <w:vAlign w:val="center"/>
          </w:tcPr>
          <w:p>
            <w:r>
              <w:t>组员</w:t>
            </w:r>
          </w:p>
        </w:tc>
        <w:tc>
          <w:tcPr>
            <w:tcW w:w="711" w:type="dxa"/>
            <w:vAlign w:val="center"/>
          </w:tcPr>
          <w:p>
            <w:r>
              <w:t>女</w:t>
            </w:r>
          </w:p>
        </w:tc>
        <w:tc>
          <w:tcPr>
            <w:tcW w:w="3870" w:type="dxa"/>
            <w:vAlign w:val="center"/>
          </w:tcPr>
          <w:p>
            <w:r>
              <w:t>2021-N0QMS-1287037</w:t>
            </w:r>
          </w:p>
        </w:tc>
        <w:tc>
          <w:tcPr>
            <w:tcW w:w="2179" w:type="dxa"/>
            <w:vAlign w:val="center"/>
          </w:tcPr>
          <w:p>
            <w:r>
              <w:t>Q:17.10.02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444500</wp:posOffset>
                  </wp:positionH>
                  <wp:positionV relativeFrom="paragraph">
                    <wp:posOffset>49530</wp:posOffset>
                  </wp:positionV>
                  <wp:extent cx="478790" cy="368300"/>
                  <wp:effectExtent l="0" t="0" r="3810" b="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78790" cy="36830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2021.12.13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最高管理者制定了文件化的管理体系方针：质量第一、信誉至上、价格合理、服务完善。节能减排，控制污染；持续改进，致力环保。</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vAlign w:val="top"/>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供销</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产品一次检验合格率≥98%；</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auto"/>
                      <w:szCs w:val="21"/>
                      <w:lang w:val="en-US" w:eastAsia="zh-CN"/>
                    </w:rPr>
                    <w:t>按实际统计计算</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100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auto"/>
                      <w:sz w:val="21"/>
                      <w:szCs w:val="21"/>
                    </w:rPr>
                    <w:t>顾客满意度≥9</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pPr>
                </w:p>
              </w:tc>
              <w:tc>
                <w:tcPr>
                  <w:tcW w:w="3136" w:type="dxa"/>
                  <w:shd w:val="clear" w:color="auto" w:fill="auto"/>
                  <w:vAlign w:val="center"/>
                </w:tcPr>
                <w:p>
                  <w:pPr>
                    <w:tabs>
                      <w:tab w:val="left" w:pos="10080"/>
                    </w:tabs>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400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2</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lang w:val="en-US" w:eastAsia="zh-CN"/>
              </w:rPr>
              <w:t>钻床、摇臂、机床等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sym w:font="Wingdings" w:char="00A8"/>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w:char="00A8"/>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外径千分尺、游标卡尺、带表卡尺、深度游标卡尺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val="en-US" w:eastAsia="zh-CN"/>
                    </w:rPr>
                    <w:t>汽车零配件</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机加工</w:t>
                  </w:r>
                </w:p>
              </w:tc>
              <w:tc>
                <w:tcPr>
                  <w:tcW w:w="3265" w:type="dxa"/>
                </w:tcPr>
                <w:p>
                  <w:pPr>
                    <w:shd w:val="clear" w:color="auto" w:fill="C7DAF1" w:themeFill="text2" w:themeFillTint="32"/>
                    <w:jc w:val="left"/>
                    <w:rPr>
                      <w:rFonts w:hint="default" w:eastAsia="宋体"/>
                      <w:lang w:val="en-US" w:eastAsia="zh-CN"/>
                    </w:rPr>
                  </w:pPr>
                  <w:r>
                    <w:rPr>
                      <w:rFonts w:hint="eastAsia"/>
                    </w:rPr>
                    <w:t>尺寸</w:t>
                  </w:r>
                  <w:r>
                    <w:rPr>
                      <w:rFonts w:hint="eastAsia"/>
                      <w:lang w:eastAsia="zh-CN"/>
                    </w:rPr>
                    <w:t>、</w:t>
                  </w:r>
                  <w:r>
                    <w:rPr>
                      <w:rFonts w:hint="eastAsia"/>
                      <w:lang w:val="en-US" w:eastAsia="zh-CN"/>
                    </w:rPr>
                    <w:t>金相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正火</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未能提供顾客财产登记表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最高管理者制定了文件化的管理体系方针：质量第一、信誉至上、价格合理、服务完善。节能减排，控制污染；持续改进，致力环保。</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环境影响报告表日期：2016年10月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A3"/>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rPr>
                    <w:t>火灾事故为零</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加强火灾安全教育</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rPr>
                    <w:t>固废处理率100%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sym w:font="Wingdings" w:char="00FE"/>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sym w:font="Wingdings" w:char="00FE"/>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sym w:font="Wingdings" w:char="00FE"/>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lang w:val="en-US" w:eastAsia="zh-CN"/>
              </w:rPr>
              <w:t>机加车床、摇臂、钻床等</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灭火器等</w:t>
            </w:r>
          </w:p>
          <w:p>
            <w:pPr>
              <w:shd w:val="clear" w:color="auto" w:fill="EBF1DE" w:themeFill="accent3" w:themeFillTint="32"/>
            </w:pPr>
            <w:r>
              <w:rPr>
                <w:rFonts w:hint="eastAsia"/>
              </w:rPr>
              <w:t>特种设备：</w:t>
            </w:r>
            <w:r>
              <w:rPr>
                <w:rFonts w:hint="eastAsia" w:ascii="Wingdings" w:hAnsi="Wingdings"/>
              </w:rPr>
              <w:sym w:font="Wingdings" w:char="00A8"/>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sym w:font="Wingdings" w:char="00A8"/>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w:char="00FE"/>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sym w:font="Wingdings" w:char="00FE"/>
            </w:r>
            <w:r>
              <w:rPr>
                <w:rFonts w:hint="eastAsia"/>
              </w:rPr>
              <w:t xml:space="preserve">招聘 </w:t>
            </w:r>
            <w:r>
              <w:rPr>
                <w:rFonts w:hint="eastAsia" w:ascii="Wingdings" w:hAnsi="Wingdings"/>
              </w:rPr>
              <w:sym w:font="Wingdings" w:char="00FE"/>
            </w:r>
            <w:r>
              <w:rPr>
                <w:rFonts w:hint="eastAsia"/>
              </w:rPr>
              <w:t xml:space="preserve">换岗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考核   </w:t>
            </w:r>
            <w:r>
              <w:rPr>
                <w:rFonts w:hint="eastAsia" w:ascii="Wingdings" w:hAnsi="Wingdings"/>
              </w:rPr>
              <w:sym w:font="Wingdings" w:char="00FE"/>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sym w:font="Wingdings" w:char="00FE"/>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sym w:font="Wingdings" w:char="00A8"/>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w:char="00FE"/>
            </w:r>
            <w:r>
              <w:rPr>
                <w:rFonts w:hint="eastAsia"/>
              </w:rPr>
              <w:t xml:space="preserve">会议传达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看板   </w:t>
            </w:r>
            <w:r>
              <w:rPr>
                <w:rFonts w:hint="eastAsia" w:ascii="Wingdings" w:hAnsi="Wingdings"/>
              </w:rPr>
              <w:sym w:font="Wingdings" w:char="00FE"/>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w:char="00FE"/>
            </w:r>
            <w:r>
              <w:rPr>
                <w:rFonts w:hint="eastAsia"/>
              </w:rPr>
              <w:t xml:space="preserve">文件发放 </w:t>
            </w:r>
            <w:r>
              <w:rPr>
                <w:rFonts w:hint="eastAsia" w:ascii="Wingdings" w:hAnsi="Wingdings"/>
              </w:rPr>
              <w:sym w:font="Wingdings" w:char="00FE"/>
            </w:r>
            <w:r>
              <w:rPr>
                <w:rFonts w:hint="eastAsia"/>
              </w:rPr>
              <w:t xml:space="preserve">会议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w:char="00FE"/>
            </w:r>
            <w:r>
              <w:rPr>
                <w:rFonts w:hint="eastAsia"/>
              </w:rPr>
              <w:t xml:space="preserve">宣传材料 </w:t>
            </w:r>
            <w:r>
              <w:rPr>
                <w:rFonts w:hint="eastAsia" w:ascii="Wingdings" w:hAnsi="Wingdings"/>
              </w:rPr>
              <w:sym w:font="Wingdings" w:char="00FE"/>
            </w:r>
            <w:r>
              <w:rPr>
                <w:rFonts w:hint="eastAsia"/>
              </w:rPr>
              <w:t xml:space="preserve">网站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sym w:font="Wingdings" w:char="00FE"/>
            </w:r>
            <w:r>
              <w:rPr>
                <w:rFonts w:hint="eastAsia"/>
              </w:rPr>
              <w:t xml:space="preserve">体系文件受控 </w:t>
            </w:r>
            <w:r>
              <w:rPr>
                <w:rFonts w:hint="eastAsia" w:ascii="Wingdings" w:hAnsi="Wingdings"/>
              </w:rPr>
              <w:sym w:font="Wingdings" w:char="00FE"/>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sym w:font="Wingdings" w:char="00FE"/>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sym w:font="Wingdings" w:char="00FE"/>
            </w:r>
            <w:r>
              <w:rPr>
                <w:rFonts w:hint="eastAsia"/>
              </w:rPr>
              <w:t xml:space="preserve">工艺流程图 </w:t>
            </w:r>
            <w:r>
              <w:rPr>
                <w:rFonts w:hint="eastAsia" w:ascii="Wingdings" w:hAnsi="Wingdings"/>
              </w:rPr>
              <w:sym w:font="Wingdings" w:char="00FE"/>
            </w:r>
            <w:r>
              <w:rPr>
                <w:rFonts w:hint="eastAsia"/>
              </w:rPr>
              <w:t xml:space="preserve">作业文件  </w:t>
            </w:r>
            <w:r>
              <w:rPr>
                <w:rFonts w:hint="eastAsia" w:ascii="Wingdings" w:hAnsi="Wingdings"/>
              </w:rPr>
              <w:sym w:font="Wingdings" w:char="00FE"/>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w:char="00FE"/>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w:char="00FE"/>
            </w:r>
            <w:r>
              <w:rPr>
                <w:rFonts w:hint="eastAsia"/>
              </w:rPr>
              <w:t xml:space="preserve">合同约定 </w:t>
            </w:r>
            <w:r>
              <w:rPr>
                <w:rFonts w:hint="eastAsia" w:ascii="Wingdings" w:hAnsi="Wingdings"/>
              </w:rPr>
              <w:sym w:font="Wingdings" w:char="00FE"/>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sym w:font="Wingdings" w:char="00FE"/>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p>
              </w:tc>
              <w:tc>
                <w:tcPr>
                  <w:tcW w:w="3665" w:type="dxa"/>
                  <w:vAlign w:val="top"/>
                </w:tcPr>
                <w:p>
                  <w:pPr>
                    <w:shd w:val="clear" w:color="auto" w:fill="EBF1DE" w:themeFill="accent3" w:themeFillTint="32"/>
                    <w:jc w:val="left"/>
                    <w:rPr>
                      <w:rFonts w:hint="default"/>
                      <w:lang w:val="en-US"/>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边角料统一收集后 交由资源回收单位回收利用</w:t>
                  </w:r>
                  <w:r>
                    <w:rPr>
                      <w:rFonts w:hint="eastAsia"/>
                      <w:lang w:eastAsia="zh-CN"/>
                    </w:rPr>
                    <w:t>；</w:t>
                  </w:r>
                </w:p>
                <w:p>
                  <w:pPr>
                    <w:pStyle w:val="2"/>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p>
              </w:tc>
              <w:tc>
                <w:tcPr>
                  <w:tcW w:w="3665" w:type="dxa"/>
                  <w:vAlign w:val="top"/>
                </w:tcPr>
                <w:p>
                  <w:pPr>
                    <w:shd w:val="clear" w:color="auto" w:fill="EBF1DE" w:themeFill="accent3" w:themeFillTint="32"/>
                    <w:jc w:val="left"/>
                    <w:rPr>
                      <w:rFonts w:hint="default"/>
                      <w:lang w:val="en-US"/>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w:char="00A8"/>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sym w:font="Wingdings" w:char="00FE"/>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《环境监测报告》编号：2020.12.24日，景环监（综合）字（2020）第831号监测报告。</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w:char="00FE"/>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w:char="00FE"/>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pacing w:before="40" w:after="40"/>
        <w:rPr>
          <w:rFonts w:eastAsia="微软雅黑"/>
        </w:rPr>
      </w:pPr>
      <w:r>
        <w:tab/>
      </w:r>
      <w:r>
        <w:tab/>
      </w:r>
      <w:r>
        <w:t>4 =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E7342D"/>
    <w:rsid w:val="170F4F7C"/>
    <w:rsid w:val="1BE922E3"/>
    <w:rsid w:val="1BF33725"/>
    <w:rsid w:val="25CD1458"/>
    <w:rsid w:val="26A91D83"/>
    <w:rsid w:val="380B25BB"/>
    <w:rsid w:val="3FD91ABC"/>
    <w:rsid w:val="4D57704D"/>
    <w:rsid w:val="4FC70BFD"/>
    <w:rsid w:val="587B6A7C"/>
    <w:rsid w:val="61504233"/>
    <w:rsid w:val="6BA34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2021-12-13T04:03:05Z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