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0014-2021-EnMS-2021</w:t>
      </w:r>
      <w:bookmarkEnd w:id="0"/>
    </w:p>
    <w:p w:rsidR="003966DB" w:rsidP="00181460">
      <w:pPr>
        <w:jc w:val="left"/>
        <w:rPr>
          <w:rFonts w:hint="eastAsia"/>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rPr>
          <w:rFonts w:hint="eastAsia"/>
        </w:rPr>
      </w:pPr>
    </w:p>
    <w:p w:rsidR="00181460" w:rsidP="00181460">
      <w:pPr>
        <w:pStyle w:val="a"/>
        <w:rPr>
          <w:rFonts w:hint="eastAsia"/>
        </w:rPr>
      </w:pPr>
    </w:p>
    <w:p w:rsidR="00181460" w:rsidP="00181460">
      <w:pPr>
        <w:pStyle w:val="a"/>
        <w:rPr>
          <w:rFonts w:hint="eastAsia"/>
        </w:rPr>
      </w:pPr>
    </w:p>
    <w:p w:rsidR="00181460" w:rsidP="00181460">
      <w:pPr>
        <w:pStyle w:val="a"/>
        <w:rPr>
          <w:rFonts w:hint="eastAsia"/>
        </w:rPr>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杭州西湖文化体育会展有限公司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杭州西湖文化体育会展有限公司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浙江省杭州市西湖区晴川街217号A座一层</w:t>
            </w:r>
            <w:bookmarkEnd w:id="7"/>
          </w:p>
        </w:tc>
        <w:tc>
          <w:tcPr>
            <w:tcW w:w="1242" w:type="dxa"/>
            <w:vMerge w:val="restart"/>
            <w:vAlign w:val="center"/>
          </w:tcPr>
          <w:p w:rsidR="003966DB">
            <w:r>
              <w:rPr>
                <w:rFonts w:hint="eastAsia"/>
              </w:rPr>
              <w:t>邮编</w:t>
            </w:r>
          </w:p>
        </w:tc>
        <w:tc>
          <w:tcPr>
            <w:tcW w:w="1771" w:type="dxa"/>
          </w:tcPr>
          <w:p w:rsidR="003966DB">
            <w:bookmarkStart w:id="8" w:name="注册邮编"/>
            <w:r>
              <w:t>310000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浙江省杭州市西湖区晴川街217号A座一层</w:t>
            </w:r>
            <w:bookmarkEnd w:id="9"/>
          </w:p>
        </w:tc>
        <w:tc>
          <w:tcPr>
            <w:tcW w:w="1242" w:type="dxa"/>
            <w:vMerge/>
            <w:vAlign w:val="center"/>
          </w:tcPr>
          <w:p w:rsidR="003966DB"/>
        </w:tc>
        <w:tc>
          <w:tcPr>
            <w:tcW w:w="1771" w:type="dxa"/>
          </w:tcPr>
          <w:p w:rsidR="003966DB">
            <w:bookmarkStart w:id="10" w:name="办公邮编"/>
            <w:r>
              <w:t>310000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张一东</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13958031704</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金新生</w:t>
            </w:r>
            <w:bookmarkEnd w:id="14"/>
          </w:p>
        </w:tc>
        <w:tc>
          <w:tcPr>
            <w:tcW w:w="1313" w:type="dxa"/>
            <w:vAlign w:val="center"/>
          </w:tcPr>
          <w:p w:rsidR="003966DB">
            <w:r>
              <w:rPr>
                <w:rFonts w:hint="eastAsia"/>
              </w:rPr>
              <w:t>管理者代表</w:t>
            </w:r>
          </w:p>
        </w:tc>
        <w:tc>
          <w:tcPr>
            <w:tcW w:w="2180" w:type="dxa"/>
          </w:tcPr>
          <w:p w:rsidR="003966DB">
            <w:bookmarkStart w:id="15" w:name="管理者代表"/>
            <w:r>
              <w:t>张一东</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2021年12月15日 上午至2021年12月16日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r>
              <w:rPr>
                <w:rFonts w:hint="eastAsia"/>
              </w:rPr>
              <w:t>一</w:t>
            </w:r>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体育场馆管理运营、会务会展服务运营、停车管理所涉及的能源管理活动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2.10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应红艳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ISC-JSZJ-178</w:t>
            </w:r>
          </w:p>
          <w:p w:rsidR="003966DB">
            <w:r>
              <w:t>杭州昊海企业管理咨询有限公司</w:t>
            </w:r>
          </w:p>
        </w:tc>
        <w:tc>
          <w:tcPr>
            <w:tcW w:w="2179" w:type="dxa"/>
            <w:vAlign w:val="center"/>
          </w:tcPr>
          <w:p w:rsidR="003966DB">
            <w:r>
              <w:t>2.10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240B42">
              <w:rPr>
                <w:rFonts w:hint="eastAsia"/>
              </w:rPr>
              <w:fldChar w:fldCharType="begin"/>
            </w:r>
            <w:r w:rsidR="00240B42">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65</cp:revision>
  <cp:lastPrinted>2019-05-13T03:19:00Z</cp:lastPrinted>
  <dcterms:created xsi:type="dcterms:W3CDTF">2015-06-17T14:51:00Z</dcterms:created>
  <dcterms:modified xsi:type="dcterms:W3CDTF">2021-11-10T07:13:00Z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