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1292-2021-Q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杭州美靥包装材料有限公司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杭州美靥包装材料有限公司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浙江省杭州市江干区茂宸金座10幢610室</w:t>
            </w:r>
            <w:bookmarkEnd w:id="6"/>
          </w:p>
        </w:tc>
        <w:tc>
          <w:tcPr>
            <w:tcW w:w="1242" w:type="dxa"/>
            <w:vMerge w:val="restart"/>
            <w:vAlign w:val="center"/>
          </w:tcPr>
          <w:p>
            <w:r>
              <w:rPr>
                <w:rFonts w:hint="eastAsia"/>
              </w:rPr>
              <w:t>邮编</w:t>
            </w:r>
          </w:p>
        </w:tc>
        <w:tc>
          <w:tcPr>
            <w:tcW w:w="1771" w:type="dxa"/>
          </w:tcPr>
          <w:p>
            <w:bookmarkStart w:id="7" w:name="注册邮编"/>
            <w:r>
              <w:t>310000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浙江省杭州市江干区茂宸金座10幢610室</w:t>
            </w:r>
            <w:bookmarkEnd w:id="8"/>
          </w:p>
        </w:tc>
        <w:tc>
          <w:tcPr>
            <w:tcW w:w="1242" w:type="dxa"/>
            <w:vMerge w:val="continue"/>
            <w:vAlign w:val="center"/>
          </w:tcPr>
          <w:p/>
        </w:tc>
        <w:tc>
          <w:tcPr>
            <w:tcW w:w="1771" w:type="dxa"/>
          </w:tcPr>
          <w:p>
            <w:bookmarkStart w:id="9" w:name="办公邮编"/>
            <w:r>
              <w:t>310000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李麟</w:t>
            </w:r>
            <w:bookmarkEnd w:id="10"/>
          </w:p>
        </w:tc>
        <w:tc>
          <w:tcPr>
            <w:tcW w:w="1313" w:type="dxa"/>
            <w:vAlign w:val="center"/>
          </w:tcPr>
          <w:p>
            <w:r>
              <w:rPr>
                <w:rFonts w:hint="eastAsia"/>
              </w:rPr>
              <w:t>电话.</w:t>
            </w:r>
          </w:p>
        </w:tc>
        <w:tc>
          <w:tcPr>
            <w:tcW w:w="2180" w:type="dxa"/>
            <w:vAlign w:val="center"/>
          </w:tcPr>
          <w:p>
            <w:bookmarkStart w:id="11" w:name="联系人电话"/>
            <w:r>
              <w:t>88391153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刘元芳</w:t>
            </w:r>
            <w:bookmarkEnd w:id="13"/>
          </w:p>
        </w:tc>
        <w:tc>
          <w:tcPr>
            <w:tcW w:w="1313" w:type="dxa"/>
            <w:vAlign w:val="center"/>
          </w:tcPr>
          <w:p>
            <w:r>
              <w:rPr>
                <w:rFonts w:hint="eastAsia"/>
              </w:rPr>
              <w:t>管理者代表</w:t>
            </w:r>
          </w:p>
        </w:tc>
        <w:tc>
          <w:tcPr>
            <w:tcW w:w="2180" w:type="dxa"/>
          </w:tcPr>
          <w:p>
            <w:bookmarkStart w:id="14" w:name="管理者代表"/>
            <w:r>
              <w:t>李麟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宋体" w:hAnsi="宋体" w:cs="宋体"/>
                <w:szCs w:val="21"/>
              </w:rPr>
              <w:t>客户订单-采购-厂家发货-客户确认验收-服务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2021年12月1</w:t>
            </w:r>
            <w:r>
              <w:rPr>
                <w:rFonts w:hint="eastAsia"/>
                <w:lang w:val="en-US" w:eastAsia="zh-CN"/>
              </w:rPr>
              <w:t>9</w:t>
            </w:r>
            <w:r>
              <w:rPr>
                <w:rFonts w:hint="eastAsia"/>
              </w:rPr>
              <w:t>日 上午至2021年12月1</w:t>
            </w:r>
            <w:r>
              <w:rPr>
                <w:rFonts w:hint="eastAsia"/>
                <w:lang w:val="en-US" w:eastAsia="zh-CN"/>
              </w:rPr>
              <w:t>9</w:t>
            </w:r>
            <w:bookmarkStart w:id="34" w:name="_GoBack"/>
            <w:bookmarkEnd w:id="34"/>
            <w:r>
              <w:rPr>
                <w:rFonts w:hint="eastAsia"/>
              </w:rPr>
              <w:t>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hint="eastAsia" w:ascii="宋体"/>
                <w:b/>
                <w:color w:val="0000FF"/>
                <w:szCs w:val="21"/>
              </w:rPr>
            </w:pPr>
            <w:r>
              <w:rPr>
                <w:rFonts w:hint="eastAsia" w:ascii="宋体"/>
                <w:b/>
                <w:color w:val="0000FF"/>
                <w:szCs w:val="21"/>
              </w:rPr>
              <w:t>□网络□智能手机□手持设备□笔记本电脑□台式电脑□无人机□摄像机□可穿戴技术□人工智能□其他</w:t>
            </w:r>
          </w:p>
          <w:p>
            <w:pPr>
              <w:pStyle w:val="2"/>
              <w:rPr>
                <w:rFonts w:hint="eastAsia" w:ascii="宋体"/>
                <w:b/>
                <w:color w:val="0000FF"/>
                <w:szCs w:val="21"/>
              </w:rPr>
            </w:pPr>
          </w:p>
          <w:p>
            <w:pPr>
              <w:pStyle w:val="2"/>
              <w:rPr>
                <w:rFonts w:hint="eastAsia"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化妆品包装材料的销售服务</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杭州美靥包装材料有限公司</w:t>
            </w:r>
            <w:r>
              <w:rPr>
                <w:rFonts w:hint="eastAsia"/>
                <w:sz w:val="21"/>
                <w:szCs w:val="21"/>
                <w:lang w:val="en-US" w:eastAsia="zh-CN"/>
              </w:rPr>
              <w:t>/</w:t>
            </w:r>
            <w:r>
              <w:rPr>
                <w:sz w:val="21"/>
                <w:szCs w:val="21"/>
              </w:rPr>
              <w:t>浙江省杭州市江干区茂宸金座10幢610室</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浙江省杭州市江干区茂宸金座10幢610室</w:t>
            </w:r>
          </w:p>
        </w:tc>
        <w:tc>
          <w:tcPr>
            <w:tcW w:w="571" w:type="dxa"/>
            <w:vAlign w:val="center"/>
          </w:tcPr>
          <w:p>
            <w:pPr>
              <w:spacing w:before="40" w:after="40"/>
              <w:rPr>
                <w:rFonts w:hint="eastAsia" w:ascii="Times New Roman" w:hAnsi="Times New Roman" w:eastAsia="黑体" w:cs="Times New Roman"/>
                <w:kern w:val="2"/>
                <w:sz w:val="21"/>
                <w:szCs w:val="21"/>
                <w:lang w:val="en-US" w:eastAsia="zh-CN" w:bidi="ar-SA"/>
              </w:rPr>
            </w:pPr>
            <w:r>
              <w:rPr>
                <w:rFonts w:hint="eastAsia" w:eastAsia="黑体"/>
                <w:szCs w:val="21"/>
                <w:lang w:val="en-US" w:eastAsia="zh-CN"/>
              </w:rPr>
              <w:t>8</w:t>
            </w:r>
          </w:p>
        </w:tc>
        <w:tc>
          <w:tcPr>
            <w:tcW w:w="2803" w:type="dxa"/>
            <w:vAlign w:val="center"/>
          </w:tcPr>
          <w:p>
            <w:pPr>
              <w:pStyle w:val="20"/>
              <w:rPr>
                <w:rFonts w:ascii="Times New Roman" w:hAnsi="Times New Roman" w:eastAsia="黑体" w:cs="Arial"/>
                <w:kern w:val="2"/>
                <w:sz w:val="21"/>
                <w:szCs w:val="21"/>
                <w:lang w:val="en-US" w:eastAsia="ja-JP" w:bidi="ar-SA"/>
              </w:rPr>
            </w:pPr>
            <w:r>
              <w:rPr>
                <w:rFonts w:hint="eastAsia"/>
                <w:color w:val="000000"/>
              </w:rPr>
              <w:t>化妆品包装材料的销售服务</w:t>
            </w:r>
          </w:p>
        </w:tc>
        <w:tc>
          <w:tcPr>
            <w:tcW w:w="669"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rPr>
                  <w:sym w:font="Wingdings 2" w:char="0052"/>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pPr>
              <w:rPr>
                <w:rFonts w:hint="eastAsia" w:eastAsia="宋体"/>
                <w:lang w:val="en-US" w:eastAsia="zh-CN"/>
              </w:rPr>
            </w:pPr>
            <w:r>
              <w:rPr>
                <w:rFonts w:hint="eastAsia"/>
                <w:lang w:val="en-US" w:eastAsia="zh-CN"/>
              </w:rPr>
              <w:t>无</w:t>
            </w: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组长</w:t>
            </w:r>
          </w:p>
        </w:tc>
        <w:tc>
          <w:tcPr>
            <w:tcW w:w="711" w:type="dxa"/>
            <w:vAlign w:val="center"/>
          </w:tcPr>
          <w:p>
            <w:r>
              <w:t>男</w:t>
            </w:r>
          </w:p>
        </w:tc>
        <w:tc>
          <w:tcPr>
            <w:tcW w:w="3870" w:type="dxa"/>
            <w:vAlign w:val="center"/>
          </w:tcPr>
          <w:p>
            <w:r>
              <w:t>2019-N1QMS-4059501</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体系运行以来无重大事故和顾客投诉。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04" w:tblpY="120"/>
        <w:tblOverlap w:val="never"/>
        <w:tblW w:w="10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22"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22"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22"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22"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22"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822"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22"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822"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22"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822"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822"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822"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822"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822"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22"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822"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22"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172"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22"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22"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356"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356"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356"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4"/>
              </w:rPr>
              <w:drawing>
                <wp:anchor distT="0" distB="0" distL="114300" distR="114300" simplePos="0" relativeHeight="251661312" behindDoc="1" locked="0" layoutInCell="1" allowOverlap="1">
                  <wp:simplePos x="0" y="0"/>
                  <wp:positionH relativeFrom="column">
                    <wp:posOffset>265430</wp:posOffset>
                  </wp:positionH>
                  <wp:positionV relativeFrom="paragraph">
                    <wp:posOffset>4445</wp:posOffset>
                  </wp:positionV>
                  <wp:extent cx="647700" cy="468630"/>
                  <wp:effectExtent l="0" t="0" r="0" b="3810"/>
                  <wp:wrapNone/>
                  <wp:docPr id="1"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林兵签名"/>
                          <pic:cNvPicPr>
                            <a:picLocks noChangeAspect="1"/>
                          </pic:cNvPicPr>
                        </pic:nvPicPr>
                        <pic:blipFill>
                          <a:blip r:embed="rId6"/>
                          <a:stretch>
                            <a:fillRect/>
                          </a:stretch>
                        </pic:blipFill>
                        <pic:spPr>
                          <a:xfrm>
                            <a:off x="0" y="0"/>
                            <a:ext cx="647700" cy="468630"/>
                          </a:xfrm>
                          <a:prstGeom prst="rect">
                            <a:avLst/>
                          </a:prstGeom>
                          <a:noFill/>
                          <a:ln>
                            <a:noFill/>
                          </a:ln>
                        </pic:spPr>
                      </pic:pic>
                    </a:graphicData>
                  </a:graphic>
                </wp:anchor>
              </w:drawing>
            </w:r>
          </w:p>
          <w:p/>
        </w:tc>
        <w:tc>
          <w:tcPr>
            <w:tcW w:w="2764" w:type="dxa"/>
            <w:tcMar>
              <w:left w:w="113" w:type="dxa"/>
            </w:tcMar>
          </w:tcPr>
          <w:p>
            <w:pPr>
              <w:rPr>
                <w:rFonts w:hint="eastAsia"/>
              </w:rPr>
            </w:pPr>
            <w:r>
              <w:rPr>
                <w:rFonts w:hint="eastAsia"/>
              </w:rPr>
              <w:t>日期</w:t>
            </w:r>
          </w:p>
        </w:tc>
        <w:tc>
          <w:tcPr>
            <w:tcW w:w="2828" w:type="dxa"/>
            <w:tcMar>
              <w:left w:w="113" w:type="dxa"/>
            </w:tcMar>
            <w:vAlign w:val="center"/>
          </w:tcPr>
          <w:p>
            <w:pPr>
              <w:rPr>
                <w:rFonts w:hint="default"/>
                <w:lang w:val="en-US" w:eastAsia="zh-CN"/>
              </w:rPr>
            </w:pPr>
            <w:r>
              <w:rPr>
                <w:rFonts w:hint="eastAsia"/>
                <w:lang w:val="en-US" w:eastAsia="zh-CN"/>
              </w:rPr>
              <w:t>2021-12-19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rFonts w:hint="default" w:eastAsia="宋体"/>
                <w:lang w:val="en-US" w:eastAsia="zh-CN"/>
              </w:rPr>
            </w:pPr>
            <w:r>
              <w:rPr>
                <w:rFonts w:hint="eastAsia"/>
                <w:b/>
                <w:bCs/>
              </w:rPr>
              <w:t>影响体系运行的外包</w:t>
            </w:r>
            <w:r>
              <w:rPr>
                <w:rFonts w:hint="eastAsia"/>
                <w:b/>
                <w:bCs/>
                <w:lang w:val="en-GB"/>
              </w:rPr>
              <w:t>过程</w:t>
            </w:r>
            <w:r>
              <w:rPr>
                <w:rFonts w:hint="eastAsia"/>
                <w:b/>
                <w:bCs/>
                <w:lang w:val="en-GB" w:eastAsia="zh-CN"/>
              </w:rPr>
              <w:t>：</w:t>
            </w:r>
            <w:r>
              <w:rPr>
                <w:rFonts w:hint="eastAsia"/>
                <w:b/>
                <w:bCs/>
                <w:lang w:val="en-US" w:eastAsia="zh-CN"/>
              </w:rPr>
              <w:t>无。</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ascii="宋体" w:hAnsi="宋体"/>
                <w:b/>
                <w:sz w:val="21"/>
                <w:szCs w:val="21"/>
              </w:rPr>
              <w:t>品质求精，服务一流，持续满足顾客的期望与需求</w:t>
            </w:r>
            <w:r>
              <w:rPr>
                <w:rFonts w:hint="eastAsia" w:ascii="宋体" w:hAnsi="宋体"/>
                <w:b/>
                <w:sz w:val="21"/>
                <w:szCs w:val="21"/>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行业法规标准更新、客户需求、供应商能力</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及时更新评价法规标准、及时跟踪客户需求、及时评价供应商能力</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国际环境原材料价格趋势、市场容量、自身竞争力</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及时了解相关材料价格趋势，建立 与客户价格沟通机制，不断优化产品</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人力资源能力、内部知识储备</w:t>
                  </w:r>
                </w:p>
              </w:tc>
              <w:tc>
                <w:tcPr>
                  <w:tcW w:w="3965" w:type="dxa"/>
                </w:tcPr>
                <w:p>
                  <w:pPr>
                    <w:shd w:val="clear" w:color="auto" w:fill="C7DAF1" w:themeFill="text2" w:themeFillTint="32"/>
                    <w:rPr>
                      <w:rFonts w:hint="default" w:eastAsia="宋体"/>
                      <w:lang w:val="en-US" w:eastAsia="zh-CN"/>
                    </w:rPr>
                  </w:pPr>
                  <w:r>
                    <w:rPr>
                      <w:rFonts w:hint="eastAsia"/>
                      <w:lang w:val="en-US" w:eastAsia="zh-CN"/>
                    </w:rPr>
                    <w:t xml:space="preserve">不断提升内部人员能力，开展教育培训；增加人员知识水平； </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1260"/>
                    </w:tabs>
                    <w:spacing w:line="320" w:lineRule="exact"/>
                  </w:pPr>
                  <w:r>
                    <w:rPr>
                      <w:rFonts w:hint="eastAsia" w:ascii="宋体" w:hAnsi="宋体"/>
                      <w:bCs/>
                      <w:sz w:val="24"/>
                      <w:szCs w:val="28"/>
                    </w:rPr>
                    <w:t>顾客投诉小于2次</w:t>
                  </w:r>
                </w:p>
              </w:tc>
              <w:tc>
                <w:tcPr>
                  <w:tcW w:w="3136" w:type="dxa"/>
                  <w:shd w:val="clear" w:color="auto" w:fill="auto"/>
                  <w:vAlign w:val="center"/>
                </w:tcPr>
                <w:p>
                  <w:pPr>
                    <w:tabs>
                      <w:tab w:val="left" w:pos="1260"/>
                    </w:tabs>
                    <w:spacing w:line="320" w:lineRule="exact"/>
                    <w:rPr>
                      <w:lang w:val="en-GB"/>
                    </w:rPr>
                  </w:pPr>
                  <w:r>
                    <w:rPr>
                      <w:rFonts w:hint="eastAsia" w:ascii="宋体" w:hAnsi="宋体"/>
                      <w:bCs/>
                      <w:sz w:val="24"/>
                    </w:rPr>
                    <w:t>按次数统计</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公司</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24"/>
                    <w:tabs>
                      <w:tab w:val="left" w:pos="420"/>
                    </w:tabs>
                    <w:spacing w:line="320" w:lineRule="exact"/>
                  </w:pPr>
                  <w:r>
                    <w:rPr>
                      <w:rFonts w:hint="eastAsia" w:hAnsi="宋体"/>
                      <w:bCs/>
                      <w:sz w:val="24"/>
                      <w:szCs w:val="28"/>
                    </w:rPr>
                    <w:t>顾客综合满意度</w:t>
                  </w:r>
                  <w:r>
                    <w:rPr>
                      <w:rFonts w:hint="eastAsia" w:hAnsi="宋体"/>
                      <w:sz w:val="24"/>
                    </w:rPr>
                    <w:t>≥</w:t>
                  </w:r>
                  <w:r>
                    <w:rPr>
                      <w:rFonts w:hint="eastAsia" w:hAnsi="宋体"/>
                      <w:bCs/>
                      <w:sz w:val="24"/>
                      <w:szCs w:val="28"/>
                    </w:rPr>
                    <w:t xml:space="preserve">90分 </w:t>
                  </w:r>
                </w:p>
              </w:tc>
              <w:tc>
                <w:tcPr>
                  <w:tcW w:w="3136" w:type="dxa"/>
                  <w:shd w:val="clear" w:color="auto" w:fill="auto"/>
                  <w:vAlign w:val="center"/>
                </w:tcPr>
                <w:p>
                  <w:pPr>
                    <w:tabs>
                      <w:tab w:val="left" w:pos="1260"/>
                    </w:tabs>
                    <w:spacing w:line="320" w:lineRule="exact"/>
                    <w:rPr>
                      <w:rFonts w:ascii="宋体" w:hAnsi="宋体"/>
                    </w:rPr>
                  </w:pPr>
                  <w:r>
                    <w:rPr>
                      <w:rFonts w:hint="eastAsia" w:ascii="宋体" w:hAnsi="宋体"/>
                      <w:bCs/>
                      <w:sz w:val="24"/>
                      <w:szCs w:val="28"/>
                    </w:rPr>
                    <w:t>调查顾客满意总分/调查客户数量</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公司</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default" w:eastAsia="宋体"/>
                <w:u w:val="single"/>
                <w:lang w:val="en-US" w:eastAsia="zh-CN"/>
              </w:rPr>
            </w:pPr>
            <w:r>
              <w:rPr>
                <w:rFonts w:hint="eastAsia"/>
                <w:lang w:val="en-US" w:eastAsia="zh-CN"/>
              </w:rPr>
              <w:t xml:space="preserve">办公面积约120平方，销售服务过程主要设备有电脑、打印机等； </w:t>
            </w:r>
          </w:p>
          <w:p>
            <w:pPr>
              <w:shd w:val="clear" w:color="auto" w:fill="C7DAF1" w:themeFill="text2" w:themeFillTint="32"/>
              <w:rPr>
                <w:rFonts w:hint="eastAsia"/>
                <w:lang w:val="en-US" w:eastAsia="zh-CN"/>
              </w:rPr>
            </w:pPr>
            <w:r>
              <w:rPr>
                <w:rFonts w:hint="eastAsia"/>
                <w:lang w:val="en-US" w:eastAsia="zh-CN"/>
              </w:rPr>
              <w:t xml:space="preserve">无特种设备；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组织的</w:t>
            </w:r>
            <w:r>
              <w:t>监视和测量资源</w:t>
            </w:r>
            <w:r>
              <w:rPr>
                <w:rFonts w:hint="eastAsia"/>
              </w:rPr>
              <w:t>：</w:t>
            </w:r>
            <w:r>
              <w:rPr>
                <w:rFonts w:hint="eastAsia" w:ascii="Wingdings" w:hAnsi="Wingdings"/>
                <w:lang w:val="en-US" w:eastAsia="zh-CN"/>
              </w:rPr>
              <w:t>示配置计量器具。</w:t>
            </w:r>
          </w:p>
          <w:p>
            <w:pPr>
              <w:shd w:val="clear" w:color="auto" w:fill="C7DAF1" w:themeFill="text2" w:themeFillTint="32"/>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rPr>
                <w:rFonts w:hint="default" w:eastAsia="宋体"/>
                <w:lang w:val="en-US" w:eastAsia="zh-CN"/>
              </w:rPr>
            </w:pPr>
            <w:r>
              <w:rPr>
                <w:rFonts w:hint="eastAsia"/>
              </w:rPr>
              <w:t xml:space="preserve">内部知识: </w:t>
            </w:r>
            <w:r>
              <w:rPr>
                <w:rFonts w:hint="eastAsia" w:ascii="Wingdings" w:hAnsi="Wingdings"/>
              </w:rPr>
              <w:t>¨</w:t>
            </w:r>
            <w:r>
              <w:rPr>
                <w:rFonts w:hint="eastAsia"/>
              </w:rPr>
              <w:t>市场预测</w:t>
            </w:r>
            <w:r>
              <w:rPr>
                <w:rFonts w:hint="eastAsia" w:ascii="Wingdings" w:hAnsi="Wingdings"/>
              </w:rPr>
              <w:t>¨</w:t>
            </w:r>
            <w:r>
              <w:rPr>
                <w:rFonts w:hint="eastAsia"/>
                <w:lang w:eastAsia="zh-CN"/>
              </w:rPr>
              <w:t>“</w:t>
            </w:r>
            <w:r>
              <w:rPr>
                <w:rFonts w:hint="eastAsia"/>
                <w:lang w:val="en-US" w:eastAsia="zh-CN"/>
              </w:rPr>
              <w:t>服务规范</w:t>
            </w:r>
            <w:r>
              <w:rPr>
                <w:rFonts w:hint="eastAsia"/>
                <w:lang w:eastAsia="zh-CN"/>
              </w:rPr>
              <w:t>”“</w:t>
            </w:r>
            <w:r>
              <w:rPr>
                <w:rFonts w:hint="eastAsia"/>
                <w:lang w:val="en-US" w:eastAsia="zh-CN"/>
              </w:rPr>
              <w:t>服务质量监督方法</w:t>
            </w:r>
            <w:r>
              <w:rPr>
                <w:rFonts w:hint="eastAsia"/>
                <w:lang w:eastAsia="zh-CN"/>
              </w:rPr>
              <w:t>”</w:t>
            </w:r>
            <w:r>
              <w:rPr>
                <w:rFonts w:hint="eastAsia"/>
                <w:lang w:val="en-US" w:eastAsia="zh-CN"/>
              </w:rPr>
              <w:t>等</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rPr>
                <w:rFonts w:hint="default" w:eastAsia="宋体"/>
                <w:lang w:val="en-US" w:eastAsia="zh-CN"/>
              </w:rPr>
            </w:pPr>
            <w:r>
              <w:rPr>
                <w:rFonts w:hint="eastAsia"/>
                <w:lang w:val="en-US" w:eastAsia="zh-CN"/>
              </w:rPr>
              <w:t>无特种作业相关人员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w:t>
            </w:r>
            <w:r>
              <w:rPr>
                <w:rFonts w:hint="eastAsia"/>
              </w:rPr>
              <w:sym w:font="Wingdings 2" w:char="0052"/>
            </w:r>
            <w:r>
              <w:rPr>
                <w:rFonts w:hint="eastAsia"/>
              </w:rPr>
              <w:t>法律法规获取有遗漏，缺少：</w:t>
            </w:r>
            <w:r>
              <w:rPr>
                <w:rFonts w:hint="eastAsia"/>
                <w:lang w:eastAsia="zh-CN"/>
              </w:rPr>
              <w:t>《</w:t>
            </w:r>
            <w:r>
              <w:rPr>
                <w:rFonts w:hint="eastAsia"/>
                <w:lang w:val="en-US" w:eastAsia="zh-CN"/>
              </w:rPr>
              <w:t>化妆品安全技术规范</w:t>
            </w:r>
            <w:r>
              <w:rPr>
                <w:rFonts w:hint="eastAsia"/>
                <w:lang w:eastAsia="zh-CN"/>
              </w:rPr>
              <w:t>》（</w:t>
            </w:r>
            <w:r>
              <w:rPr>
                <w:rFonts w:hint="eastAsia"/>
                <w:lang w:val="en-US" w:eastAsia="zh-CN"/>
              </w:rPr>
              <w:t>2015版</w:t>
            </w:r>
            <w:r>
              <w:rPr>
                <w:rFonts w:hint="eastAsia"/>
                <w:lang w:eastAsia="zh-CN"/>
              </w:rPr>
              <w:t>）、</w:t>
            </w:r>
            <w:r>
              <w:rPr>
                <w:rFonts w:hint="eastAsia" w:ascii="Times New Roman" w:hAnsi="Times New Roman" w:cs="Times New Roman"/>
              </w:rPr>
              <w:fldChar w:fldCharType="begin"/>
            </w:r>
            <w:r>
              <w:rPr>
                <w:rFonts w:hint="eastAsia" w:ascii="Times New Roman" w:hAnsi="Times New Roman" w:cs="Times New Roman"/>
              </w:rPr>
              <w:instrText xml:space="preserve"> HYPERLINK "http://www.stdmis.cn/Database/javascript:__doPostBack('ctl00$ctl00$ContentPlaceHolder1$ContentPlaceHolder1$rptStandard$ctl00$lbtnDetail','')" \o "点击查看标准详细信息" </w:instrText>
            </w:r>
            <w:r>
              <w:rPr>
                <w:rFonts w:hint="eastAsia" w:ascii="Times New Roman" w:hAnsi="Times New Roman" w:cs="Times New Roman"/>
              </w:rPr>
              <w:fldChar w:fldCharType="separate"/>
            </w:r>
            <w:r>
              <w:rPr>
                <w:rFonts w:hint="eastAsia" w:ascii="Times New Roman" w:hAnsi="Times New Roman" w:cs="Times New Roman"/>
              </w:rPr>
              <w:t>GB 23350-2009</w:t>
            </w:r>
            <w:r>
              <w:rPr>
                <w:rFonts w:hint="eastAsia" w:ascii="Times New Roman" w:hAnsi="Times New Roman" w:cs="Times New Roman"/>
              </w:rPr>
              <w:fldChar w:fldCharType="end"/>
            </w:r>
            <w:r>
              <w:rPr>
                <w:rFonts w:hint="eastAsia" w:ascii="Times New Roman" w:hAnsi="Times New Roman" w:cs="Times New Roman"/>
                <w:lang w:eastAsia="zh-CN"/>
              </w:rPr>
              <w:t>《</w:t>
            </w:r>
            <w:r>
              <w:rPr>
                <w:rFonts w:hint="eastAsia" w:ascii="Times New Roman" w:hAnsi="Times New Roman" w:cs="Times New Roman"/>
              </w:rPr>
              <w:t>限制商品过度包装要求 食品和化妆品</w:t>
            </w:r>
            <w:r>
              <w:rPr>
                <w:rFonts w:hint="eastAsia" w:ascii="Times New Roman" w:hAnsi="Times New Roman" w:cs="Times New Roman"/>
                <w:lang w:val="en-US" w:eastAsia="zh-CN"/>
              </w:rPr>
              <w:t>》</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ascii="Wingdings" w:hAnsi="Wingdings"/>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lang w:val="en-US" w:eastAsia="zh-CN"/>
              </w:rPr>
              <w:t>对设计开</w:t>
            </w:r>
            <w:r>
              <w:rPr>
                <w:rFonts w:hint="eastAsia" w:ascii="Times New Roman" w:hAnsi="Times New Roman" w:cs="Times New Roman"/>
                <w:lang w:val="en-US" w:eastAsia="zh-CN"/>
              </w:rPr>
              <w:t>发过程进行了删减：按客户要求提供销售服务，不承担设计开发责任，也无实际的产品或服务设计开发活动。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lang w:val="en-US" w:eastAsia="zh-CN"/>
              </w:rPr>
              <w:t>办公设备</w:t>
            </w:r>
            <w:r>
              <w:rPr>
                <w:rFonts w:hint="eastAsia" w:ascii="Wingdings" w:hAnsi="Wingdings"/>
              </w:rPr>
              <w:t>¨</w:t>
            </w:r>
            <w:r>
              <w:rPr>
                <w:rFonts w:hint="eastAsia"/>
                <w:lang w:val="en-US" w:eastAsia="zh-CN"/>
              </w:rPr>
              <w:t>化妆品包装产品</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销售服务</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合同信息确认</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物品名称、数量 、规格、型号、图纸、质量要求等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订货下单</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给供应商下单的信息确认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客户送货确认</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客户收货的确认</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服务过程</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，说明</w:t>
            </w:r>
            <w:r>
              <w:rPr>
                <w:rFonts w:hint="eastAsia"/>
                <w:lang w:eastAsia="zh-CN"/>
              </w:rPr>
              <w:t>：</w:t>
            </w:r>
            <w:r>
              <w:rPr>
                <w:rFonts w:hint="eastAsia"/>
                <w:lang w:val="en-US" w:eastAsia="zh-CN"/>
              </w:rPr>
              <w:t>作业文件、作业人员要求、特定方法、记录等</w:t>
            </w:r>
            <w:r>
              <w:rPr>
                <w:rFonts w:hint="eastAsia"/>
              </w:rPr>
              <w:t>。</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组织应在服务提供期间对输出进行必要防护，以确保符合要求。</w:t>
            </w:r>
          </w:p>
          <w:p>
            <w:pPr>
              <w:shd w:val="clear" w:color="auto" w:fill="C7DAF1" w:themeFill="text2" w:themeFillTint="32"/>
            </w:pPr>
            <w:r>
              <w:rPr>
                <w:rFonts w:hint="eastAsia"/>
              </w:rPr>
              <w:t>可包括标识、包装、储存、传输或运输以及保护。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eastAsia"/>
              </w:rPr>
            </w:pPr>
            <w:r>
              <w:rPr>
                <w:rFonts w:hint="eastAsia"/>
                <w:lang w:val="en-US" w:eastAsia="zh-CN"/>
              </w:rPr>
              <w:t>货物采取B2B形式，由公司查看供应商当批的产品出厂检测报告确认</w:t>
            </w:r>
            <w:r>
              <w:rPr>
                <w:rFonts w:hint="eastAsia"/>
              </w:rPr>
              <w:t>。</w:t>
            </w:r>
          </w:p>
          <w:p>
            <w:pPr>
              <w:pStyle w:val="2"/>
              <w:rPr>
                <w:rFonts w:hint="default" w:eastAsia="宋体"/>
                <w:lang w:val="en-US" w:eastAsia="zh-CN"/>
              </w:rPr>
            </w:pPr>
            <w:r>
              <w:rPr>
                <w:rFonts w:hint="eastAsia"/>
                <w:lang w:val="en-US" w:eastAsia="zh-CN"/>
              </w:rPr>
              <w:t>送货后，由客户发回入库信息确认单。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11</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49F0CDE"/>
    <w:rsid w:val="36DB203D"/>
    <w:rsid w:val="4F30420A"/>
    <w:rsid w:val="5DA848F7"/>
    <w:rsid w:val="6F711CC7"/>
    <w:rsid w:val="7CA73D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Plain Text"/>
    <w:basedOn w:val="1"/>
    <w:qFormat/>
    <w:uiPriority w:val="0"/>
    <w:pPr>
      <w:adjustRightInd w:val="0"/>
      <w:textAlignment w:val="baseline"/>
    </w:pPr>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2021-12-23T04:52:16Z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