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1266-2021-QEO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瑞昌市宏瑞船舶工程有限公司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瑞昌市宏瑞船舶工程有限公司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瑞昌市码头镇（原6214厂一分厂）</w:t>
            </w:r>
            <w:bookmarkEnd w:id="6"/>
          </w:p>
        </w:tc>
        <w:tc>
          <w:tcPr>
            <w:tcW w:w="1242" w:type="dxa"/>
            <w:vMerge w:val="restart"/>
            <w:vAlign w:val="center"/>
          </w:tcPr>
          <w:p>
            <w:r>
              <w:rPr>
                <w:rFonts w:hint="eastAsia"/>
              </w:rPr>
              <w:t>邮编</w:t>
            </w:r>
          </w:p>
        </w:tc>
        <w:tc>
          <w:tcPr>
            <w:tcW w:w="1771" w:type="dxa"/>
          </w:tcPr>
          <w:p>
            <w:bookmarkStart w:id="7" w:name="注册邮编"/>
            <w:r>
              <w:t>332207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江西省瑞昌市码头镇（原6214厂一分厂）</w:t>
            </w:r>
            <w:bookmarkEnd w:id="8"/>
          </w:p>
        </w:tc>
        <w:tc>
          <w:tcPr>
            <w:tcW w:w="1242" w:type="dxa"/>
            <w:vMerge w:val="continue"/>
            <w:vAlign w:val="center"/>
          </w:tcPr>
          <w:p/>
        </w:tc>
        <w:tc>
          <w:tcPr>
            <w:tcW w:w="1771" w:type="dxa"/>
          </w:tcPr>
          <w:p>
            <w:bookmarkStart w:id="9" w:name="办公邮编"/>
            <w:r>
              <w:t>332207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赵红伟</w:t>
            </w:r>
            <w:bookmarkEnd w:id="10"/>
          </w:p>
        </w:tc>
        <w:tc>
          <w:tcPr>
            <w:tcW w:w="1313" w:type="dxa"/>
            <w:vAlign w:val="center"/>
          </w:tcPr>
          <w:p>
            <w:r>
              <w:rPr>
                <w:rFonts w:hint="eastAsia"/>
              </w:rPr>
              <w:t>电话.</w:t>
            </w:r>
          </w:p>
        </w:tc>
        <w:tc>
          <w:tcPr>
            <w:tcW w:w="2180" w:type="dxa"/>
            <w:vAlign w:val="center"/>
          </w:tcPr>
          <w:p>
            <w:bookmarkStart w:id="11" w:name="联系人电话"/>
            <w:r>
              <w:t>13635982144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赵红伟</w:t>
            </w:r>
            <w:bookmarkEnd w:id="13"/>
          </w:p>
        </w:tc>
        <w:tc>
          <w:tcPr>
            <w:tcW w:w="1313" w:type="dxa"/>
            <w:vAlign w:val="center"/>
          </w:tcPr>
          <w:p>
            <w:r>
              <w:rPr>
                <w:rFonts w:hint="eastAsia"/>
              </w:rPr>
              <w:t>管理者代表</w:t>
            </w:r>
          </w:p>
        </w:tc>
        <w:tc>
          <w:tcPr>
            <w:tcW w:w="2180" w:type="dxa"/>
          </w:tcPr>
          <w:p>
            <w:bookmarkStart w:id="14" w:name="管理者代表"/>
            <w:r>
              <w:t>李怀松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ascii="宋体"/>
                <w:color w:val="auto"/>
                <w:szCs w:val="21"/>
              </w:rPr>
              <w:t>运输—吊装—安装—焊接—打磨—报检—交付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2824"/>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2021年12月17日 下午至2021年12月20日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5557" w:type="dxa"/>
            <w:gridSpan w:val="2"/>
            <w:vMerge w:val="restart"/>
            <w:vAlign w:val="center"/>
          </w:tcPr>
          <w:p>
            <w:bookmarkStart w:id="29" w:name="审核范围"/>
            <w:r>
              <w:t>Q：船舶通风管道、舾装件的安装（资质许可范围内除外）</w:t>
            </w:r>
          </w:p>
          <w:p>
            <w:r>
              <w:t>E：船舶通风管道、舾装件的安装（资质许可范围内除外）所涉及场所的相关环境管理活动</w:t>
            </w:r>
          </w:p>
          <w:p>
            <w:r>
              <w:t>O：船舶通风管道、舾装件的安装（资质许可范围内除外）所涉及场所的相关职业健康安全管理活动</w:t>
            </w:r>
            <w:bookmarkEnd w:id="29"/>
          </w:p>
        </w:tc>
        <w:tc>
          <w:tcPr>
            <w:tcW w:w="227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32" w:type="dxa"/>
            <w:vMerge w:val="continue"/>
            <w:vAlign w:val="center"/>
          </w:tcPr>
          <w:p/>
        </w:tc>
        <w:tc>
          <w:tcPr>
            <w:tcW w:w="5557" w:type="dxa"/>
            <w:gridSpan w:val="2"/>
            <w:vMerge w:val="continue"/>
            <w:vAlign w:val="center"/>
          </w:tcPr>
          <w:p/>
        </w:tc>
        <w:tc>
          <w:tcPr>
            <w:tcW w:w="2274" w:type="dxa"/>
            <w:vAlign w:val="center"/>
          </w:tcPr>
          <w:p>
            <w:bookmarkStart w:id="30" w:name="专业代码"/>
            <w:r>
              <w:t>Q：20.01.01</w:t>
            </w:r>
          </w:p>
          <w:p>
            <w:r>
              <w:t>E：20.01.01</w:t>
            </w:r>
          </w:p>
          <w:p>
            <w:r>
              <w:t>O：20.01.01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2824" w:type="dxa"/>
            <w:vAlign w:val="center"/>
          </w:tcPr>
          <w:p>
            <w:r>
              <w:rPr>
                <w:rFonts w:hint="eastAsia"/>
              </w:rPr>
              <w:t>管理体系运行已超过3个月</w:t>
            </w:r>
          </w:p>
        </w:tc>
        <w:tc>
          <w:tcPr>
            <w:tcW w:w="2274"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tc>
        <w:tc>
          <w:tcPr>
            <w:tcW w:w="2824" w:type="dxa"/>
            <w:vAlign w:val="center"/>
          </w:tcPr>
          <w:p>
            <w:r>
              <w:rPr>
                <w:rFonts w:hint="eastAsia"/>
              </w:rPr>
              <w:t>认证证书有效期</w:t>
            </w:r>
          </w:p>
          <w:p>
            <w:r>
              <w:rPr>
                <w:rFonts w:hint="eastAsia"/>
              </w:rPr>
              <w:t>（初审除外）</w:t>
            </w:r>
          </w:p>
        </w:tc>
        <w:tc>
          <w:tcPr>
            <w:tcW w:w="2274"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瑞昌市宏瑞船舶工程有限公司</w:t>
            </w:r>
          </w:p>
          <w:p>
            <w:pPr>
              <w:spacing w:before="40" w:after="40"/>
              <w:rPr>
                <w:rFonts w:ascii="Times New Roman" w:hAnsi="Times New Roman" w:eastAsia="宋体" w:cs="Times New Roman"/>
                <w:kern w:val="2"/>
                <w:sz w:val="21"/>
                <w:szCs w:val="21"/>
                <w:lang w:val="de-DE" w:eastAsia="ja-JP" w:bidi="ar-SA"/>
              </w:rPr>
            </w:pPr>
            <w:r>
              <w:rPr>
                <w:rFonts w:hint="eastAsia"/>
                <w:sz w:val="21"/>
                <w:szCs w:val="21"/>
                <w:lang w:val="de-DE" w:eastAsia="ja-JP"/>
              </w:rPr>
              <w:t>瑞昌市码头镇（原6214厂一分厂）</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sz w:val="21"/>
                <w:szCs w:val="21"/>
                <w:lang w:val="de-DE" w:eastAsia="ja-JP"/>
              </w:rPr>
              <w:t>江西省瑞昌市码头镇（原6214厂一分厂）</w:t>
            </w:r>
          </w:p>
        </w:tc>
        <w:tc>
          <w:tcPr>
            <w:tcW w:w="5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cs="宋体"/>
                <w:color w:val="000000"/>
                <w:kern w:val="0"/>
                <w:szCs w:val="24"/>
              </w:rPr>
              <w:t>23</w:t>
            </w:r>
          </w:p>
        </w:tc>
        <w:tc>
          <w:tcPr>
            <w:tcW w:w="2803" w:type="dxa"/>
            <w:vAlign w:val="center"/>
          </w:tcPr>
          <w:p>
            <w:pPr>
              <w:pStyle w:val="20"/>
              <w:rPr>
                <w:rFonts w:ascii="Times New Roman" w:hAnsi="Times New Roman" w:eastAsia="黑体" w:cs="Arial"/>
                <w:kern w:val="2"/>
                <w:sz w:val="21"/>
                <w:szCs w:val="21"/>
                <w:lang w:val="en-US" w:eastAsia="ja-JP" w:bidi="ar-SA"/>
              </w:rPr>
            </w:pPr>
            <w:r>
              <w:rPr>
                <w:rFonts w:hint="eastAsia" w:ascii="Times New Roman" w:hAnsi="Times New Roman" w:eastAsia="宋体" w:cs="Times New Roman"/>
                <w:kern w:val="2"/>
                <w:sz w:val="21"/>
                <w:szCs w:val="21"/>
                <w:lang w:val="en-US" w:eastAsia="ja-JP" w:bidi="ar-SA"/>
              </w:rPr>
              <w:t>船舶通风管道、舾装件的安装（资质许可范围内除外）</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QEO</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988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tcPr>
          <w:p>
            <w:r>
              <w:rPr>
                <w:rFonts w:hint="eastAsia"/>
              </w:rPr>
              <w:t>影响审核方案的事项</w:t>
            </w:r>
          </w:p>
        </w:tc>
        <w:tc>
          <w:tcPr>
            <w:tcW w:w="7787" w:type="dxa"/>
          </w:tcPr>
          <w:p>
            <w:pPr>
              <w:jc w:val="left"/>
            </w:pPr>
            <w:r>
              <w:rPr>
                <w:rFonts w:hint="eastAsia"/>
              </w:rPr>
              <w:t>□审核终止□审核中止□增加审核人员□减少审核人员□增加场所</w:t>
            </w:r>
          </w:p>
          <w:p>
            <w:pPr>
              <w:jc w:val="left"/>
            </w:pPr>
            <w:r>
              <w:rPr>
                <w:rFonts w:hint="eastAsia"/>
              </w:rPr>
              <w:t>□减少场所□扩大认证范围</w:t>
            </w:r>
            <w:r>
              <w:rPr>
                <w:rFonts w:hint="eastAsia"/>
              </w:rPr>
              <w:sym w:font="Wingdings 2" w:char="00A3"/>
            </w:r>
            <w:r>
              <w:rPr>
                <w:rFonts w:hint="eastAsia"/>
              </w:rPr>
              <w:t>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tcPr>
          <w:p>
            <w:r>
              <w:rPr>
                <w:rFonts w:hint="eastAsia"/>
              </w:rPr>
              <w:t>理由说明</w:t>
            </w:r>
          </w:p>
          <w:p/>
        </w:tc>
        <w:tc>
          <w:tcPr>
            <w:tcW w:w="7787"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991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5"/>
        <w:gridCol w:w="5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5" w:type="dxa"/>
          </w:tcPr>
          <w:p>
            <w:r>
              <w:rPr>
                <w:rFonts w:hint="eastAsia"/>
              </w:rPr>
              <w:sym w:font="Wingdings 2" w:char="0052"/>
            </w:r>
            <w:r>
              <w:rPr>
                <w:rFonts w:hint="eastAsia"/>
              </w:rPr>
              <w:t>已按照审核计划完成全部审核工作</w:t>
            </w:r>
          </w:p>
        </w:tc>
        <w:tc>
          <w:tcPr>
            <w:tcW w:w="5819"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5" w:type="dxa"/>
          </w:tcPr>
          <w:p>
            <w:r>
              <w:rPr>
                <w:rFonts w:hint="eastAsia"/>
              </w:rPr>
              <w:t>□审核计划有修改，但不会影响审核结论。</w:t>
            </w:r>
          </w:p>
          <w:p>
            <w:r>
              <w:rPr>
                <w:rFonts w:hint="eastAsia"/>
              </w:rPr>
              <w:t>修改的内容和原因是：</w:t>
            </w:r>
          </w:p>
        </w:tc>
        <w:tc>
          <w:tcPr>
            <w:tcW w:w="5819"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5" w:type="dxa"/>
          </w:tcPr>
          <w:p>
            <w:r>
              <w:rPr>
                <w:rFonts w:hint="eastAsia"/>
              </w:rPr>
              <w:t>□未完成审核计划</w:t>
            </w:r>
          </w:p>
        </w:tc>
        <w:tc>
          <w:tcPr>
            <w:tcW w:w="5819" w:type="dxa"/>
          </w:tcPr>
          <w:p>
            <w:r>
              <w:rPr>
                <w:rFonts w:hint="eastAsia"/>
              </w:rPr>
              <w:t>未完成的内容和原因是:</w:t>
            </w:r>
          </w:p>
          <w:p/>
        </w:tc>
      </w:tr>
    </w:tbl>
    <w:p>
      <w:pPr>
        <w:rPr>
          <w:highlight w:val="cyan"/>
        </w:rPr>
      </w:pPr>
    </w:p>
    <w:p>
      <w:r>
        <w:rPr>
          <w:rFonts w:hint="eastAsia"/>
        </w:rPr>
        <w:t>五、审核组成员信息</w:t>
      </w:r>
    </w:p>
    <w:tbl>
      <w:tblPr>
        <w:tblStyle w:val="8"/>
        <w:tblW w:w="991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089"/>
        <w:gridCol w:w="711"/>
        <w:gridCol w:w="3870"/>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914"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42"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602"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42"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6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42" w:type="dxa"/>
            <w:vAlign w:val="center"/>
          </w:tcPr>
          <w:p>
            <w:r>
              <w:t>彭鹰</w:t>
            </w:r>
          </w:p>
        </w:tc>
        <w:tc>
          <w:tcPr>
            <w:tcW w:w="1089" w:type="dxa"/>
            <w:vAlign w:val="center"/>
          </w:tcPr>
          <w:p>
            <w:r>
              <w:t>组员</w:t>
            </w:r>
          </w:p>
        </w:tc>
        <w:tc>
          <w:tcPr>
            <w:tcW w:w="711" w:type="dxa"/>
            <w:vAlign w:val="center"/>
          </w:tcPr>
          <w:p>
            <w:r>
              <w:t>女</w:t>
            </w:r>
          </w:p>
        </w:tc>
        <w:tc>
          <w:tcPr>
            <w:tcW w:w="3870" w:type="dxa"/>
            <w:vAlign w:val="center"/>
          </w:tcPr>
          <w:p>
            <w:r>
              <w:t>2021-N0QMS-1269415</w:t>
            </w:r>
          </w:p>
          <w:p>
            <w:r>
              <w:t>2021-N0EMS-1269415</w:t>
            </w:r>
          </w:p>
        </w:tc>
        <w:tc>
          <w:tcPr>
            <w:tcW w:w="26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42" w:type="dxa"/>
            <w:vAlign w:val="center"/>
          </w:tcPr>
          <w:p>
            <w:r>
              <w:t>曾赣玲</w:t>
            </w:r>
          </w:p>
        </w:tc>
        <w:tc>
          <w:tcPr>
            <w:tcW w:w="1089" w:type="dxa"/>
            <w:vAlign w:val="center"/>
          </w:tcPr>
          <w:p>
            <w:r>
              <w:t>组员</w:t>
            </w:r>
          </w:p>
        </w:tc>
        <w:tc>
          <w:tcPr>
            <w:tcW w:w="711" w:type="dxa"/>
            <w:vAlign w:val="center"/>
          </w:tcPr>
          <w:p>
            <w:r>
              <w:t>女</w:t>
            </w:r>
          </w:p>
        </w:tc>
        <w:tc>
          <w:tcPr>
            <w:tcW w:w="3870" w:type="dxa"/>
            <w:vAlign w:val="center"/>
          </w:tcPr>
          <w:p>
            <w:r>
              <w:t>2021-N1QMS-1286307</w:t>
            </w:r>
          </w:p>
          <w:p>
            <w:r>
              <w:t>2021-N1EMS-1286307</w:t>
            </w:r>
          </w:p>
          <w:p>
            <w:r>
              <w:t>2021-N1OHSMS-1286307</w:t>
            </w:r>
          </w:p>
        </w:tc>
        <w:tc>
          <w:tcPr>
            <w:tcW w:w="26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42" w:type="dxa"/>
            <w:vAlign w:val="center"/>
          </w:tcPr>
          <w:p>
            <w:r>
              <w:t>吴文龙</w:t>
            </w:r>
          </w:p>
        </w:tc>
        <w:tc>
          <w:tcPr>
            <w:tcW w:w="1089" w:type="dxa"/>
            <w:vAlign w:val="center"/>
          </w:tcPr>
          <w:p>
            <w:r>
              <w:t>组员</w:t>
            </w:r>
          </w:p>
        </w:tc>
        <w:tc>
          <w:tcPr>
            <w:tcW w:w="711" w:type="dxa"/>
            <w:vAlign w:val="center"/>
          </w:tcPr>
          <w:p>
            <w:r>
              <w:t>男</w:t>
            </w:r>
          </w:p>
        </w:tc>
        <w:tc>
          <w:tcPr>
            <w:tcW w:w="3870" w:type="dxa"/>
            <w:vAlign w:val="center"/>
          </w:tcPr>
          <w:p>
            <w:r>
              <w:t>ISC-JSZJ-458</w:t>
            </w:r>
          </w:p>
          <w:p>
            <w:r>
              <w:t>ISC-JSZJ-458</w:t>
            </w:r>
          </w:p>
          <w:p>
            <w:r>
              <w:t>ISC-JSZJ-458</w:t>
            </w:r>
          </w:p>
          <w:p>
            <w:r>
              <w:t>江西江州联合造船有限责任公司</w:t>
            </w:r>
          </w:p>
        </w:tc>
        <w:tc>
          <w:tcPr>
            <w:tcW w:w="2602" w:type="dxa"/>
            <w:vAlign w:val="center"/>
          </w:tcPr>
          <w:p>
            <w:r>
              <w:t>Q:20.01.01</w:t>
            </w:r>
          </w:p>
          <w:p>
            <w:r>
              <w:t>E:20.01.01</w:t>
            </w:r>
          </w:p>
          <w:p>
            <w:r>
              <w:t>O:20.01.01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42" w:type="dxa"/>
            <w:vAlign w:val="center"/>
          </w:tcPr>
          <w:p/>
        </w:tc>
        <w:tc>
          <w:tcPr>
            <w:tcW w:w="1089" w:type="dxa"/>
            <w:vAlign w:val="center"/>
          </w:tcPr>
          <w:p/>
        </w:tc>
        <w:tc>
          <w:tcPr>
            <w:tcW w:w="711" w:type="dxa"/>
            <w:vAlign w:val="center"/>
          </w:tcPr>
          <w:p/>
        </w:tc>
        <w:tc>
          <w:tcPr>
            <w:tcW w:w="3870" w:type="dxa"/>
            <w:vAlign w:val="center"/>
          </w:tcPr>
          <w:p/>
        </w:tc>
        <w:tc>
          <w:tcPr>
            <w:tcW w:w="26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42" w:type="dxa"/>
            <w:vAlign w:val="center"/>
          </w:tcPr>
          <w:p/>
        </w:tc>
        <w:tc>
          <w:tcPr>
            <w:tcW w:w="1089" w:type="dxa"/>
            <w:vAlign w:val="center"/>
          </w:tcPr>
          <w:p/>
        </w:tc>
        <w:tc>
          <w:tcPr>
            <w:tcW w:w="711" w:type="dxa"/>
            <w:vAlign w:val="center"/>
          </w:tcPr>
          <w:p/>
        </w:tc>
        <w:tc>
          <w:tcPr>
            <w:tcW w:w="3870" w:type="dxa"/>
            <w:vAlign w:val="center"/>
          </w:tcPr>
          <w:p/>
        </w:tc>
        <w:tc>
          <w:tcPr>
            <w:tcW w:w="26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42" w:type="dxa"/>
            <w:vAlign w:val="center"/>
          </w:tcPr>
          <w:p/>
        </w:tc>
        <w:tc>
          <w:tcPr>
            <w:tcW w:w="1089" w:type="dxa"/>
            <w:vAlign w:val="center"/>
          </w:tcPr>
          <w:p/>
        </w:tc>
        <w:tc>
          <w:tcPr>
            <w:tcW w:w="711" w:type="dxa"/>
            <w:vAlign w:val="center"/>
          </w:tcPr>
          <w:p/>
        </w:tc>
        <w:tc>
          <w:tcPr>
            <w:tcW w:w="3870" w:type="dxa"/>
            <w:vAlign w:val="center"/>
          </w:tcPr>
          <w:p/>
        </w:tc>
        <w:tc>
          <w:tcPr>
            <w:tcW w:w="26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42" w:type="dxa"/>
            <w:vAlign w:val="center"/>
          </w:tcPr>
          <w:p/>
        </w:tc>
        <w:tc>
          <w:tcPr>
            <w:tcW w:w="1089" w:type="dxa"/>
            <w:vAlign w:val="center"/>
          </w:tcPr>
          <w:p/>
        </w:tc>
        <w:tc>
          <w:tcPr>
            <w:tcW w:w="711" w:type="dxa"/>
            <w:vAlign w:val="center"/>
          </w:tcPr>
          <w:p/>
        </w:tc>
        <w:tc>
          <w:tcPr>
            <w:tcW w:w="3870" w:type="dxa"/>
            <w:vAlign w:val="center"/>
          </w:tcPr>
          <w:p/>
        </w:tc>
        <w:tc>
          <w:tcPr>
            <w:tcW w:w="26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42" w:type="dxa"/>
            <w:vAlign w:val="center"/>
          </w:tcPr>
          <w:p/>
        </w:tc>
        <w:tc>
          <w:tcPr>
            <w:tcW w:w="1089" w:type="dxa"/>
            <w:vAlign w:val="center"/>
          </w:tcPr>
          <w:p/>
        </w:tc>
        <w:tc>
          <w:tcPr>
            <w:tcW w:w="711" w:type="dxa"/>
            <w:vAlign w:val="center"/>
          </w:tcPr>
          <w:p/>
        </w:tc>
        <w:tc>
          <w:tcPr>
            <w:tcW w:w="3870" w:type="dxa"/>
            <w:vAlign w:val="center"/>
          </w:tcPr>
          <w:p/>
        </w:tc>
        <w:tc>
          <w:tcPr>
            <w:tcW w:w="26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14"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42"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602"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42" w:type="dxa"/>
            <w:vAlign w:val="center"/>
          </w:tcPr>
          <w:p/>
        </w:tc>
        <w:tc>
          <w:tcPr>
            <w:tcW w:w="1089" w:type="dxa"/>
            <w:vAlign w:val="center"/>
          </w:tcPr>
          <w:p/>
        </w:tc>
        <w:tc>
          <w:tcPr>
            <w:tcW w:w="711" w:type="dxa"/>
            <w:vAlign w:val="center"/>
          </w:tcPr>
          <w:p/>
        </w:tc>
        <w:tc>
          <w:tcPr>
            <w:tcW w:w="3870" w:type="dxa"/>
            <w:vAlign w:val="center"/>
          </w:tcPr>
          <w:p/>
        </w:tc>
        <w:tc>
          <w:tcPr>
            <w:tcW w:w="26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42" w:type="dxa"/>
            <w:vAlign w:val="center"/>
          </w:tcPr>
          <w:p/>
        </w:tc>
        <w:tc>
          <w:tcPr>
            <w:tcW w:w="1089" w:type="dxa"/>
            <w:vAlign w:val="center"/>
          </w:tcPr>
          <w:p/>
        </w:tc>
        <w:tc>
          <w:tcPr>
            <w:tcW w:w="711" w:type="dxa"/>
            <w:vAlign w:val="center"/>
          </w:tcPr>
          <w:p/>
        </w:tc>
        <w:tc>
          <w:tcPr>
            <w:tcW w:w="3870" w:type="dxa"/>
            <w:vAlign w:val="center"/>
          </w:tcPr>
          <w:p/>
        </w:tc>
        <w:tc>
          <w:tcPr>
            <w:tcW w:w="2602" w:type="dxa"/>
            <w:vAlign w:val="center"/>
          </w:tcPr>
          <w:p/>
        </w:tc>
      </w:tr>
    </w:tbl>
    <w:p/>
    <w:p>
      <w:r>
        <w:rPr>
          <w:rFonts w:hint="eastAsia"/>
        </w:rPr>
        <w:t>六、上次审核后发生的影响组织管理体系的重要变更（适用时）</w:t>
      </w:r>
    </w:p>
    <w:tbl>
      <w:tblPr>
        <w:tblStyle w:val="8"/>
        <w:tblW w:w="991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7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716" w:type="dxa"/>
            <w:vAlign w:val="center"/>
          </w:tcPr>
          <w:p>
            <w:r>
              <w:rPr>
                <w:rFonts w:hint="eastAsia"/>
              </w:rPr>
              <w:t>变更内容</w:t>
            </w:r>
          </w:p>
        </w:tc>
        <w:tc>
          <w:tcPr>
            <w:tcW w:w="7198"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716" w:type="dxa"/>
            <w:vAlign w:val="center"/>
          </w:tcPr>
          <w:p>
            <w:r>
              <w:rPr>
                <w:rFonts w:hint="eastAsia"/>
              </w:rPr>
              <w:t>主要负责人变更</w:t>
            </w:r>
          </w:p>
        </w:tc>
        <w:tc>
          <w:tcPr>
            <w:tcW w:w="71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716" w:type="dxa"/>
            <w:vAlign w:val="center"/>
          </w:tcPr>
          <w:p>
            <w:r>
              <w:rPr>
                <w:rFonts w:hint="eastAsia"/>
              </w:rPr>
              <w:t>注册地址变更</w:t>
            </w:r>
          </w:p>
        </w:tc>
        <w:tc>
          <w:tcPr>
            <w:tcW w:w="71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716" w:type="dxa"/>
            <w:vAlign w:val="center"/>
          </w:tcPr>
          <w:p>
            <w:r>
              <w:rPr>
                <w:rFonts w:hint="eastAsia"/>
              </w:rPr>
              <w:t>经营地址变更</w:t>
            </w:r>
          </w:p>
        </w:tc>
        <w:tc>
          <w:tcPr>
            <w:tcW w:w="71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716" w:type="dxa"/>
            <w:vAlign w:val="center"/>
          </w:tcPr>
          <w:p>
            <w:r>
              <w:rPr>
                <w:rFonts w:hint="eastAsia"/>
              </w:rPr>
              <w:t>多场所地址变更</w:t>
            </w:r>
          </w:p>
        </w:tc>
        <w:tc>
          <w:tcPr>
            <w:tcW w:w="71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716" w:type="dxa"/>
            <w:vAlign w:val="center"/>
          </w:tcPr>
          <w:p>
            <w:r>
              <w:rPr>
                <w:rFonts w:hint="eastAsia"/>
              </w:rPr>
              <w:t>临时场所地址变更</w:t>
            </w:r>
          </w:p>
        </w:tc>
        <w:tc>
          <w:tcPr>
            <w:tcW w:w="71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716" w:type="dxa"/>
            <w:vAlign w:val="center"/>
          </w:tcPr>
          <w:p>
            <w:r>
              <w:rPr>
                <w:rFonts w:hint="eastAsia"/>
              </w:rPr>
              <w:t>认证范围变更</w:t>
            </w:r>
          </w:p>
        </w:tc>
        <w:tc>
          <w:tcPr>
            <w:tcW w:w="71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16" w:type="dxa"/>
            <w:vAlign w:val="center"/>
          </w:tcPr>
          <w:p>
            <w:r>
              <w:rPr>
                <w:rFonts w:hint="eastAsia"/>
              </w:rPr>
              <w:t>体系员工人数较大变更</w:t>
            </w:r>
          </w:p>
        </w:tc>
        <w:tc>
          <w:tcPr>
            <w:tcW w:w="71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716" w:type="dxa"/>
            <w:vAlign w:val="center"/>
          </w:tcPr>
          <w:p>
            <w:r>
              <w:rPr>
                <w:rFonts w:hint="eastAsia"/>
              </w:rPr>
              <w:t>设备设施重大变更</w:t>
            </w:r>
          </w:p>
        </w:tc>
        <w:tc>
          <w:tcPr>
            <w:tcW w:w="71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716" w:type="dxa"/>
            <w:vAlign w:val="center"/>
          </w:tcPr>
          <w:p>
            <w:r>
              <w:rPr>
                <w:rFonts w:hint="eastAsia"/>
              </w:rPr>
              <w:t>产品/工艺重大变更</w:t>
            </w:r>
          </w:p>
        </w:tc>
        <w:tc>
          <w:tcPr>
            <w:tcW w:w="71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716" w:type="dxa"/>
            <w:vAlign w:val="center"/>
          </w:tcPr>
          <w:p>
            <w:r>
              <w:rPr>
                <w:rFonts w:hint="eastAsia"/>
              </w:rPr>
              <w:t>其他</w:t>
            </w:r>
          </w:p>
        </w:tc>
        <w:tc>
          <w:tcPr>
            <w:tcW w:w="7198"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087"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9"/>
        <w:gridCol w:w="2764"/>
        <w:gridCol w:w="2764"/>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99" w:type="dxa"/>
            <w:vAlign w:val="center"/>
          </w:tcPr>
          <w:p>
            <w:pPr>
              <w:rPr>
                <w:rFonts w:ascii="宋体"/>
                <w:b/>
                <w:color w:val="0000FF"/>
                <w:szCs w:val="21"/>
              </w:rPr>
            </w:pPr>
            <w:r>
              <w:rPr>
                <w:rFonts w:hint="eastAsia" w:ascii="宋体"/>
                <w:b/>
                <w:color w:val="0000FF"/>
                <w:szCs w:val="21"/>
              </w:rPr>
              <w:t>突发事件的处置措施</w:t>
            </w:r>
          </w:p>
        </w:tc>
        <w:tc>
          <w:tcPr>
            <w:tcW w:w="8388"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99" w:type="dxa"/>
            <w:vMerge w:val="restart"/>
            <w:vAlign w:val="center"/>
          </w:tcPr>
          <w:p>
            <w:pPr>
              <w:rPr>
                <w:rFonts w:ascii="宋体"/>
                <w:b/>
                <w:color w:val="0000FF"/>
                <w:szCs w:val="21"/>
              </w:rPr>
            </w:pPr>
            <w:r>
              <w:rPr>
                <w:rFonts w:hint="eastAsia"/>
                <w:b/>
                <w:bCs/>
                <w:color w:val="0000FF"/>
              </w:rPr>
              <w:t>远程审核的有效性评价（适用时）</w:t>
            </w:r>
          </w:p>
        </w:tc>
        <w:tc>
          <w:tcPr>
            <w:tcW w:w="8388"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99" w:type="dxa"/>
            <w:vMerge w:val="continue"/>
            <w:vAlign w:val="center"/>
          </w:tcPr>
          <w:p>
            <w:pPr>
              <w:rPr>
                <w:rFonts w:ascii="宋体"/>
                <w:b/>
                <w:color w:val="0000FF"/>
                <w:szCs w:val="21"/>
              </w:rPr>
            </w:pPr>
          </w:p>
        </w:tc>
        <w:tc>
          <w:tcPr>
            <w:tcW w:w="8388"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99" w:type="dxa"/>
          </w:tcPr>
          <w:p>
            <w:r>
              <w:rPr>
                <w:rFonts w:hint="eastAsia"/>
              </w:rPr>
              <w:t>审核组长签字</w:t>
            </w:r>
          </w:p>
        </w:tc>
        <w:tc>
          <w:tcPr>
            <w:tcW w:w="2764" w:type="dxa"/>
            <w:tcMar>
              <w:left w:w="113" w:type="dxa"/>
            </w:tcMar>
          </w:tcPr>
          <w:p>
            <w:r>
              <w:rPr>
                <w:rFonts w:hint="default" w:ascii="宋体" w:hAnsi="宋体"/>
                <w:b/>
                <w:kern w:val="0"/>
                <w:sz w:val="24"/>
                <w:lang w:val="en-US"/>
              </w:rPr>
              <w:drawing>
                <wp:anchor distT="0" distB="0" distL="114300" distR="114300" simplePos="0" relativeHeight="251661312" behindDoc="0" locked="0" layoutInCell="1" allowOverlap="1">
                  <wp:simplePos x="0" y="0"/>
                  <wp:positionH relativeFrom="column">
                    <wp:posOffset>98425</wp:posOffset>
                  </wp:positionH>
                  <wp:positionV relativeFrom="paragraph">
                    <wp:posOffset>42545</wp:posOffset>
                  </wp:positionV>
                  <wp:extent cx="748030" cy="450850"/>
                  <wp:effectExtent l="0" t="0" r="13970" b="635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48030" cy="4508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860"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widowControl/>
              <w:spacing w:before="40"/>
              <w:jc w:val="left"/>
              <w:rPr>
                <w:rFonts w:hint="eastAsia"/>
                <w:color w:val="000000"/>
                <w:szCs w:val="18"/>
                <w:u w:val="single"/>
              </w:rPr>
            </w:pPr>
            <w:r>
              <w:rPr>
                <w:rFonts w:hint="eastAsia"/>
                <w:color w:val="000000"/>
                <w:szCs w:val="18"/>
                <w:u w:val="single"/>
              </w:rPr>
              <w:t xml:space="preserve">用户至上、产品求精、持续改进、质量兴企； </w:t>
            </w:r>
          </w:p>
          <w:p>
            <w:pPr>
              <w:widowControl/>
              <w:spacing w:before="40"/>
              <w:jc w:val="left"/>
              <w:rPr>
                <w:rFonts w:hint="eastAsia"/>
                <w:color w:val="000000"/>
                <w:szCs w:val="18"/>
                <w:u w:val="single"/>
              </w:rPr>
            </w:pPr>
            <w:r>
              <w:rPr>
                <w:rFonts w:hint="eastAsia"/>
                <w:color w:val="000000"/>
                <w:szCs w:val="18"/>
                <w:u w:val="single"/>
              </w:rPr>
              <w:t>遵纪守法、预防危害、防治污染、持续发展。</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交付风险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确保质量和工期</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安装调试、交付合格率100%</w:t>
                  </w:r>
                </w:p>
              </w:tc>
              <w:tc>
                <w:tcPr>
                  <w:tcW w:w="3136" w:type="dxa"/>
                  <w:shd w:val="clear" w:color="auto" w:fill="auto"/>
                  <w:vAlign w:val="top"/>
                </w:tcPr>
                <w:p>
                  <w:pPr>
                    <w:spacing w:after="0"/>
                    <w:rPr>
                      <w:rFonts w:ascii="Times New Roman" w:hAnsi="Times New Roman" w:eastAsia="宋体" w:cs="Times New Roman"/>
                      <w:color w:val="000000"/>
                      <w:kern w:val="2"/>
                      <w:sz w:val="21"/>
                      <w:szCs w:val="18"/>
                      <w:highlight w:val="cyan"/>
                      <w:lang w:val="en-GB" w:eastAsia="zh-CN" w:bidi="ar-SA"/>
                    </w:rPr>
                  </w:pPr>
                  <w:r>
                    <w:rPr>
                      <w:rFonts w:hint="eastAsia"/>
                      <w:sz w:val="21"/>
                      <w:szCs w:val="21"/>
                    </w:rPr>
                    <w:t>合格数÷总数×100%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sz w:val="21"/>
                      <w:szCs w:val="21"/>
                    </w:rPr>
                    <w:t>顾客满意度9</w:t>
                  </w:r>
                  <w:r>
                    <w:rPr>
                      <w:rFonts w:hint="eastAsia"/>
                      <w:sz w:val="21"/>
                      <w:szCs w:val="21"/>
                      <w:lang w:val="en-US" w:eastAsia="zh-CN"/>
                    </w:rPr>
                    <w:t>6</w:t>
                  </w:r>
                  <w:r>
                    <w:rPr>
                      <w:rFonts w:hint="eastAsia"/>
                      <w:sz w:val="21"/>
                      <w:szCs w:val="21"/>
                    </w:rPr>
                    <w:t>分以上</w:t>
                  </w:r>
                </w:p>
              </w:tc>
              <w:tc>
                <w:tcPr>
                  <w:tcW w:w="3136" w:type="dxa"/>
                  <w:shd w:val="clear" w:color="auto" w:fill="auto"/>
                  <w:vAlign w:val="top"/>
                </w:tcPr>
                <w:p>
                  <w:pPr>
                    <w:spacing w:after="0"/>
                    <w:rPr>
                      <w:rFonts w:ascii="Times New Roman" w:hAnsi="Times New Roman" w:eastAsia="宋体" w:cs="Times New Roman"/>
                      <w:color w:val="000000"/>
                      <w:kern w:val="2"/>
                      <w:sz w:val="21"/>
                      <w:szCs w:val="18"/>
                      <w:highlight w:val="cyan"/>
                      <w:lang w:val="en-US" w:eastAsia="zh-CN" w:bidi="ar-SA"/>
                    </w:rPr>
                  </w:pPr>
                  <w:r>
                    <w:rPr>
                      <w:rFonts w:hint="eastAsia"/>
                      <w:sz w:val="21"/>
                      <w:szCs w:val="21"/>
                    </w:rPr>
                    <w:t>调查单位中满意总分数÷调查单位数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w:t>
            </w:r>
            <w:r>
              <w:rPr>
                <w:rFonts w:hint="eastAsia"/>
              </w:rPr>
              <w:t>个；库房</w:t>
            </w:r>
            <w:r>
              <w:rPr>
                <w:rFonts w:hint="eastAsia"/>
                <w:lang w:val="en-US" w:eastAsia="zh-CN"/>
              </w:rPr>
              <w:t>/</w:t>
            </w:r>
            <w:r>
              <w:rPr>
                <w:rFonts w:hint="eastAsia"/>
              </w:rPr>
              <w:t>个；实验室</w:t>
            </w:r>
            <w:r>
              <w:rPr>
                <w:rFonts w:hint="eastAsia"/>
                <w:lang w:val="en-US" w:eastAsia="zh-CN"/>
              </w:rPr>
              <w:t>/</w:t>
            </w:r>
            <w:r>
              <w:rPr>
                <w:rFonts w:hint="eastAsia"/>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磨光机</w:t>
            </w:r>
            <w:r>
              <w:rPr>
                <w:rFonts w:hint="eastAsia"/>
                <w:highlight w:val="none"/>
                <w:u w:val="single"/>
                <w:lang w:eastAsia="zh-CN"/>
              </w:rPr>
              <w:t>、</w:t>
            </w:r>
            <w:r>
              <w:rPr>
                <w:rFonts w:hint="eastAsia"/>
                <w:highlight w:val="none"/>
                <w:u w:val="single"/>
              </w:rPr>
              <w:t>切割机</w:t>
            </w:r>
            <w:r>
              <w:rPr>
                <w:rFonts w:hint="eastAsia"/>
                <w:highlight w:val="none"/>
                <w:u w:val="single"/>
                <w:lang w:eastAsia="zh-CN"/>
              </w:rPr>
              <w:t>、</w:t>
            </w:r>
            <w:r>
              <w:rPr>
                <w:rFonts w:hint="eastAsia"/>
                <w:highlight w:val="none"/>
                <w:u w:val="single"/>
              </w:rPr>
              <w:t>电焊机</w:t>
            </w:r>
            <w:r>
              <w:rPr>
                <w:rFonts w:hint="eastAsia"/>
                <w:highlight w:val="none"/>
                <w:u w:val="single"/>
                <w:lang w:eastAsia="zh-CN"/>
              </w:rPr>
              <w:t>、</w:t>
            </w:r>
            <w:r>
              <w:rPr>
                <w:rFonts w:hint="eastAsia"/>
                <w:highlight w:val="none"/>
                <w:u w:val="single"/>
              </w:rPr>
              <w:t>手垃葫芦</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sym w:font="Wingdings 2" w:char="00A3"/>
            </w:r>
            <w:r>
              <w:rPr>
                <w:rFonts w:hint="eastAsia"/>
              </w:rPr>
              <w:t>外校</w:t>
            </w:r>
          </w:p>
          <w:p>
            <w:pPr>
              <w:shd w:val="clear" w:color="auto" w:fill="C7DAF1" w:themeFill="text2" w:themeFillTint="32"/>
              <w:rPr>
                <w:rFonts w:hint="eastAsia" w:eastAsia="宋体"/>
                <w:highlight w:val="none"/>
                <w:u w:val="single"/>
                <w:lang w:eastAsia="zh-CN"/>
              </w:rPr>
            </w:pPr>
            <w:r>
              <w:rPr>
                <w:rFonts w:hint="eastAsia"/>
                <w:highlight w:val="none"/>
              </w:rPr>
              <w:t>国家强检的计量器具有：</w:t>
            </w:r>
            <w:r>
              <w:rPr>
                <w:rFonts w:hint="eastAsia"/>
                <w:highlight w:val="none"/>
                <w:u w:val="single"/>
                <w:lang w:val="en-US" w:eastAsia="zh-CN"/>
              </w:rPr>
              <w:t>钢卷尺</w:t>
            </w:r>
          </w:p>
          <w:p>
            <w:pPr>
              <w:shd w:val="clear" w:color="auto" w:fill="C7DAF1" w:themeFill="text2" w:themeFillTint="32"/>
              <w:rPr>
                <w:rFonts w:hint="eastAsia" w:eastAsia="宋体"/>
                <w:u w:val="single"/>
                <w:lang w:val="en-US" w:eastAsia="zh-CN"/>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sym w:font="Wingdings 2" w:char="0052"/>
            </w:r>
            <w:r>
              <w:rPr>
                <w:rFonts w:hint="eastAsia"/>
                <w:highlight w:val="none"/>
              </w:rPr>
              <w:t>未进行定期校准/检定的有：</w:t>
            </w:r>
            <w:r>
              <w:rPr>
                <w:rFonts w:hint="eastAsia"/>
                <w:highlight w:val="none"/>
                <w:lang w:val="en-US" w:eastAsia="zh-CN"/>
              </w:rPr>
              <w:t>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color w:val="000000"/>
                    </w:rPr>
                    <w:t>船舶通风管道、舾装件的安装</w:t>
                  </w:r>
                </w:p>
              </w:tc>
              <w:tc>
                <w:tcPr>
                  <w:tcW w:w="3665" w:type="dxa"/>
                </w:tcPr>
                <w:p>
                  <w:pPr>
                    <w:shd w:val="clear" w:color="auto" w:fill="C7DAF1" w:themeFill="text2" w:themeFillTint="32"/>
                    <w:jc w:val="left"/>
                  </w:pPr>
                  <w:r>
                    <w:rPr>
                      <w:rFonts w:hint="eastAsia"/>
                      <w:color w:val="000000"/>
                      <w:u w:val="single"/>
                    </w:rPr>
                    <w:t>安装、焊接</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尺寸、焊缝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color w:val="000000"/>
                <w:u w:val="single"/>
              </w:rPr>
              <w:t>焊接</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通过年度策划于2021年10月14-15日实施了质量管理体系内部审核，对质量管理体系的符合性和有效性进行了审核。内审发现的项不符合在本次审核前已完成整改。在公司内完成的这些审核是可信的。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最高管理者已按策划的时间间隔，在2021年10月25日对组织的质量管理体系进行了评审，以确保其持续的适宜性、充分性和有效性；管理评审输入、输出均按要求提供。并对提出的改进措施进行了落实。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55"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市场□文化□社会</w:t>
                  </w:r>
                  <w:r>
                    <w:rPr>
                      <w:rFonts w:hint="eastAsia"/>
                    </w:rPr>
                    <w:sym w:font="Wingdings 2" w:char="0052"/>
                  </w:r>
                  <w:r>
                    <w:rPr>
                      <w:rFonts w:hint="eastAsia"/>
                    </w:rPr>
                    <w:t>经济环境</w:t>
                  </w:r>
                </w:p>
                <w:p>
                  <w:pPr>
                    <w:shd w:val="clear" w:color="auto" w:fill="EBF1DE" w:themeFill="accent3" w:themeFillTint="32"/>
                  </w:pPr>
                  <w:r>
                    <w:rPr>
                      <w:rFonts w:hint="eastAsia"/>
                    </w:rPr>
                    <w:t>□政治</w:t>
                  </w:r>
                  <w:r>
                    <w:rPr>
                      <w:rFonts w:hint="eastAsia"/>
                    </w:rPr>
                    <w:sym w:font="Wingdings 2" w:char="0052"/>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价值观□文化□知识□绩效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w:t>
            </w:r>
            <w:r>
              <w:rPr>
                <w:rFonts w:hint="eastAsia"/>
              </w:rPr>
              <w:sym w:font="Wingdings 2" w:char="0052"/>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bookmarkStart w:id="34" w:name="_GoBack"/>
            <w:bookmarkEnd w:id="34"/>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widowControl/>
              <w:spacing w:before="40"/>
              <w:jc w:val="left"/>
              <w:rPr>
                <w:rFonts w:hint="eastAsia"/>
                <w:color w:val="000000"/>
                <w:szCs w:val="18"/>
                <w:u w:val="single"/>
              </w:rPr>
            </w:pPr>
            <w:r>
              <w:rPr>
                <w:rFonts w:hint="eastAsia"/>
                <w:color w:val="000000"/>
                <w:szCs w:val="18"/>
                <w:u w:val="single"/>
              </w:rPr>
              <w:t>用户至上、产品求精、持续改进、质量兴企；</w:t>
            </w:r>
          </w:p>
          <w:p>
            <w:pPr>
              <w:widowControl/>
              <w:spacing w:before="40"/>
              <w:jc w:val="left"/>
              <w:rPr>
                <w:rFonts w:hint="eastAsia"/>
                <w:color w:val="000000"/>
                <w:szCs w:val="18"/>
                <w:u w:val="single"/>
              </w:rPr>
            </w:pPr>
            <w:r>
              <w:rPr>
                <w:rFonts w:hint="eastAsia"/>
                <w:color w:val="000000"/>
                <w:szCs w:val="18"/>
                <w:u w:val="single"/>
              </w:rPr>
              <w:t>遵纪守法、预防危害、防治污染、持续发展。</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固废排放、潜在火灾、噪声排放、废气排放、粉尘排放</w:t>
                  </w:r>
                </w:p>
              </w:tc>
              <w:tc>
                <w:tcPr>
                  <w:tcW w:w="3965" w:type="dxa"/>
                </w:tcPr>
                <w:p>
                  <w:pPr>
                    <w:shd w:val="clear" w:color="auto" w:fill="EBF1DE" w:themeFill="accent3" w:themeFillTint="32"/>
                    <w:rPr>
                      <w:rFonts w:hint="default" w:eastAsia="宋体"/>
                      <w:lang w:val="en-US" w:eastAsia="zh-CN"/>
                    </w:rPr>
                  </w:pPr>
                  <w:r>
                    <w:rPr>
                      <w:rFonts w:hint="eastAsia"/>
                      <w:lang w:val="en-US" w:eastAsia="zh-CN"/>
                    </w:rPr>
                    <w:t>运行控制、应急预案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能源消耗□资源消耗□废水排放</w:t>
            </w:r>
            <w:r>
              <w:rPr>
                <w:rFonts w:hint="eastAsia"/>
              </w:rPr>
              <w:sym w:font="Wingdings 2" w:char="0052"/>
            </w:r>
            <w:r>
              <w:rPr>
                <w:rFonts w:hint="eastAsia"/>
              </w:rPr>
              <w:t>废气排放</w:t>
            </w:r>
            <w:r>
              <w:rPr>
                <w:rFonts w:hint="eastAsia"/>
              </w:rPr>
              <w:sym w:font="Wingdings 2" w:char="0052"/>
            </w:r>
            <w:r>
              <w:rPr>
                <w:rFonts w:hint="eastAsia"/>
              </w:rPr>
              <w:t>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21"/>
                      <w:szCs w:val="21"/>
                    </w:rPr>
                    <w:t>火灾事故为0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运行控制、应急预案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21"/>
                      <w:szCs w:val="21"/>
                    </w:rPr>
                    <w:t>固体废弃物分类处置率100%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集中回收，船厂处理</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w:t>
            </w:r>
            <w:r>
              <w:rPr>
                <w:rFonts w:hint="eastAsia"/>
              </w:rPr>
              <w:t>个；库房</w:t>
            </w:r>
            <w:r>
              <w:rPr>
                <w:rFonts w:hint="eastAsia"/>
                <w:lang w:val="en-US" w:eastAsia="zh-CN"/>
              </w:rPr>
              <w:t>/</w:t>
            </w:r>
            <w:r>
              <w:rPr>
                <w:rFonts w:hint="eastAsia"/>
              </w:rPr>
              <w:t>个；实验室</w:t>
            </w:r>
            <w:r>
              <w:rPr>
                <w:rFonts w:hint="eastAsia"/>
                <w:lang w:val="en-US" w:eastAsia="zh-CN"/>
              </w:rPr>
              <w:t>/</w:t>
            </w:r>
            <w:r>
              <w:rPr>
                <w:rFonts w:hint="eastAsia"/>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磨光机、切割机、电焊机、手垃葫芦等</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垃圾桶、消防设施设备</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节约使用</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节约使用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生活废水经管网排放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无组织排放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个体防护</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集中收集处理</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无组织排放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消防控制</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12</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定期（每年）：2021年8月20日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通过年度策划于2021年10月14-15日实施了环境管理体系内部审核，对环境管理体系的符合性和有效性进行了审核。内审发现的项不符合在本次审核前已完成整改。在公司内完成的这些审核是可信的。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最高管理者已按策划的时间间隔，在2021年10月25日对组织的环境管理体系进行了评审，以确保其持续的适宜性、充分性和有效性；管理评审输入、输出均按要求提供。并对提出的改进措施进行了落实。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29"/>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2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2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2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2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widowControl/>
              <w:spacing w:before="40"/>
              <w:jc w:val="left"/>
              <w:rPr>
                <w:rFonts w:hint="eastAsia"/>
                <w:color w:val="000000"/>
                <w:szCs w:val="18"/>
                <w:u w:val="single"/>
              </w:rPr>
            </w:pPr>
            <w:r>
              <w:rPr>
                <w:rFonts w:hint="eastAsia"/>
                <w:color w:val="000000"/>
                <w:szCs w:val="18"/>
                <w:u w:val="single"/>
              </w:rPr>
              <w:t>用户至上、产品求精、持续改进、质量兴企；</w:t>
            </w:r>
          </w:p>
          <w:p>
            <w:pPr>
              <w:widowControl/>
              <w:spacing w:before="40"/>
              <w:jc w:val="left"/>
              <w:rPr>
                <w:rFonts w:hint="eastAsia"/>
                <w:color w:val="000000"/>
                <w:szCs w:val="18"/>
                <w:u w:val="single"/>
              </w:rPr>
            </w:pPr>
            <w:r>
              <w:rPr>
                <w:rFonts w:hint="eastAsia"/>
                <w:color w:val="000000"/>
                <w:szCs w:val="18"/>
                <w:u w:val="single"/>
              </w:rPr>
              <w:t>遵纪守法、预防危害、防治污染、持续发展。</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生产部</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员工代表是——段付杰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机械伤害、粉尘、焊尘、烟尘、噪音伤害、潜在触电、火灾事故</w:t>
                  </w:r>
                </w:p>
              </w:tc>
              <w:tc>
                <w:tcPr>
                  <w:tcW w:w="3965" w:type="dxa"/>
                </w:tcPr>
                <w:p>
                  <w:pPr>
                    <w:rPr>
                      <w:rFonts w:hint="default" w:eastAsia="宋体"/>
                      <w:lang w:val="en-US" w:eastAsia="zh-CN"/>
                    </w:rPr>
                  </w:pPr>
                  <w:r>
                    <w:rPr>
                      <w:rFonts w:hint="eastAsia"/>
                      <w:lang w:val="en-US" w:eastAsia="zh-CN"/>
                    </w:rPr>
                    <w:t>运行控制</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highlight w:val="none"/>
                <w:lang w:val="en-US" w:eastAsia="zh-CN"/>
              </w:rPr>
            </w:pPr>
            <w:r>
              <w:rPr>
                <w:rFonts w:hint="eastAsia"/>
                <w:highlight w:val="none"/>
              </w:rPr>
              <w:sym w:font="Wingdings 2" w:char="0052"/>
            </w:r>
            <w:r>
              <w:rPr>
                <w:rFonts w:hint="eastAsia"/>
                <w:highlight w:val="none"/>
              </w:rPr>
              <w:t>职业病体检报告书日期：</w:t>
            </w:r>
            <w:r>
              <w:rPr>
                <w:rFonts w:hint="eastAsia"/>
                <w:highlight w:val="none"/>
                <w:lang w:val="en-US" w:eastAsia="zh-CN"/>
              </w:rPr>
              <w:t>2021.3.14</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3"/>
              <w:gridCol w:w="265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shd w:val="clear" w:color="auto" w:fill="auto"/>
                </w:tcPr>
                <w:p>
                  <w:pPr>
                    <w:rPr>
                      <w:rFonts w:ascii="宋体" w:hAnsi="宋体"/>
                    </w:rPr>
                  </w:pPr>
                  <w:r>
                    <w:rPr>
                      <w:rFonts w:hint="eastAsia"/>
                    </w:rPr>
                    <w:t>职业健康安全</w:t>
                  </w:r>
                  <w:r>
                    <w:rPr>
                      <w:rFonts w:hint="eastAsia" w:ascii="宋体" w:hAnsi="宋体"/>
                    </w:rPr>
                    <w:t>目标</w:t>
                  </w:r>
                </w:p>
              </w:tc>
              <w:tc>
                <w:tcPr>
                  <w:tcW w:w="2654"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shd w:val="clear" w:color="auto" w:fill="auto"/>
                </w:tcPr>
                <w:p>
                  <w:r>
                    <w:rPr>
                      <w:rFonts w:hint="eastAsia"/>
                      <w:sz w:val="21"/>
                      <w:szCs w:val="21"/>
                    </w:rPr>
                    <w:t>火灾事故为0</w:t>
                  </w:r>
                </w:p>
              </w:tc>
              <w:tc>
                <w:tcPr>
                  <w:tcW w:w="2654" w:type="dxa"/>
                  <w:shd w:val="clear" w:color="auto" w:fill="auto"/>
                  <w:vAlign w:val="center"/>
                </w:tcPr>
                <w:p>
                  <w:pPr>
                    <w:rPr>
                      <w:rFonts w:hint="default" w:eastAsia="宋体"/>
                      <w:lang w:val="en-US" w:eastAsia="zh-CN"/>
                    </w:rPr>
                  </w:pPr>
                  <w:r>
                    <w:rPr>
                      <w:rFonts w:hint="eastAsia"/>
                      <w:lang w:val="en-US" w:eastAsia="zh-CN"/>
                    </w:rPr>
                    <w:t>运行控制、应急管理</w:t>
                  </w:r>
                </w:p>
              </w:tc>
              <w:tc>
                <w:tcPr>
                  <w:tcW w:w="1350" w:type="dxa"/>
                  <w:shd w:val="clear" w:color="auto" w:fill="auto"/>
                  <w:vAlign w:val="center"/>
                </w:tcPr>
                <w:p>
                  <w:pPr>
                    <w:rPr>
                      <w:rFonts w:hint="eastAsia"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shd w:val="clear" w:color="auto" w:fill="auto"/>
                </w:tcPr>
                <w:p>
                  <w:r>
                    <w:rPr>
                      <w:rFonts w:hint="eastAsia"/>
                      <w:sz w:val="21"/>
                      <w:szCs w:val="21"/>
                    </w:rPr>
                    <w:t>因公责任重大伤亡率为0;</w:t>
                  </w:r>
                </w:p>
              </w:tc>
              <w:tc>
                <w:tcPr>
                  <w:tcW w:w="2654" w:type="dxa"/>
                  <w:shd w:val="clear" w:color="auto" w:fill="auto"/>
                  <w:vAlign w:val="center"/>
                </w:tcPr>
                <w:p>
                  <w:pPr>
                    <w:rPr>
                      <w:rFonts w:hint="eastAsia" w:ascii="宋体" w:hAnsi="宋体" w:eastAsia="宋体"/>
                      <w:lang w:val="en-US" w:eastAsia="zh-CN"/>
                    </w:rPr>
                  </w:pPr>
                  <w:r>
                    <w:rPr>
                      <w:rFonts w:hint="eastAsia" w:ascii="宋体" w:hAnsi="宋体"/>
                      <w:lang w:val="en-US" w:eastAsia="zh-CN"/>
                    </w:rPr>
                    <w:t>运行控制</w:t>
                  </w:r>
                </w:p>
              </w:tc>
              <w:tc>
                <w:tcPr>
                  <w:tcW w:w="1350" w:type="dxa"/>
                  <w:shd w:val="clear" w:color="auto" w:fill="auto"/>
                  <w:vAlign w:val="center"/>
                </w:tcPr>
                <w:p>
                  <w:pPr>
                    <w:rPr>
                      <w:rFonts w:ascii="宋体" w:hAnsi="宋体"/>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shd w:val="clear" w:color="auto" w:fill="auto"/>
                </w:tcPr>
                <w:p>
                  <w:r>
                    <w:rPr>
                      <w:rFonts w:hint="eastAsia"/>
                      <w:sz w:val="21"/>
                      <w:szCs w:val="21"/>
                    </w:rPr>
                    <w:t>职业病发病为0</w:t>
                  </w:r>
                </w:p>
              </w:tc>
              <w:tc>
                <w:tcPr>
                  <w:tcW w:w="2654" w:type="dxa"/>
                  <w:shd w:val="clear" w:color="auto" w:fill="auto"/>
                  <w:vAlign w:val="center"/>
                </w:tcPr>
                <w:p>
                  <w:pPr>
                    <w:rPr>
                      <w:rFonts w:hint="eastAsia" w:ascii="宋体" w:hAnsi="宋体" w:eastAsia="宋体"/>
                      <w:lang w:val="en-US" w:eastAsia="zh-CN"/>
                    </w:rPr>
                  </w:pPr>
                  <w:r>
                    <w:rPr>
                      <w:rFonts w:hint="eastAsia" w:ascii="宋体" w:hAnsi="宋体"/>
                      <w:lang w:val="en-US" w:eastAsia="zh-CN"/>
                    </w:rPr>
                    <w:t>运行控制</w:t>
                  </w:r>
                </w:p>
              </w:tc>
              <w:tc>
                <w:tcPr>
                  <w:tcW w:w="1350" w:type="dxa"/>
                  <w:shd w:val="clear" w:color="auto" w:fill="auto"/>
                  <w:vAlign w:val="center"/>
                </w:tcPr>
                <w:p>
                  <w:pPr>
                    <w:rPr>
                      <w:rFonts w:ascii="宋体" w:hAnsi="宋体"/>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shd w:val="clear" w:color="auto" w:fill="auto"/>
                </w:tcPr>
                <w:p/>
              </w:tc>
              <w:tc>
                <w:tcPr>
                  <w:tcW w:w="2654"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shd w:val="clear" w:color="auto" w:fill="auto"/>
                </w:tcPr>
                <w:p/>
              </w:tc>
              <w:tc>
                <w:tcPr>
                  <w:tcW w:w="2654"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w:t>
            </w:r>
            <w:r>
              <w:rPr>
                <w:rFonts w:hint="eastAsia"/>
                <w:lang w:val="en-US" w:eastAsia="zh-CN"/>
              </w:rPr>
              <w:t>/</w:t>
            </w:r>
            <w:r>
              <w:rPr>
                <w:rFonts w:hint="eastAsia"/>
              </w:rPr>
              <w:t>个；库房</w:t>
            </w:r>
            <w:r>
              <w:rPr>
                <w:rFonts w:hint="eastAsia"/>
                <w:lang w:val="en-US" w:eastAsia="zh-CN"/>
              </w:rPr>
              <w:t>/</w:t>
            </w:r>
            <w:r>
              <w:rPr>
                <w:rFonts w:hint="eastAsia"/>
              </w:rPr>
              <w:t>个；实验室</w:t>
            </w:r>
            <w:r>
              <w:rPr>
                <w:rFonts w:hint="eastAsia"/>
                <w:lang w:val="en-US" w:eastAsia="zh-CN"/>
              </w:rPr>
              <w:t>/</w:t>
            </w:r>
            <w:r>
              <w:rPr>
                <w:rFonts w:hint="eastAsia"/>
              </w:rPr>
              <w:t>个；</w:t>
            </w:r>
          </w:p>
          <w:p>
            <w:pPr>
              <w:rPr>
                <w:rFonts w:hint="eastAsia" w:eastAsia="宋体"/>
                <w:highlight w:val="none"/>
                <w:u w:val="single"/>
                <w:lang w:eastAsia="zh-CN"/>
              </w:rPr>
            </w:pPr>
            <w:r>
              <w:rPr>
                <w:rFonts w:hint="eastAsia"/>
                <w:highlight w:val="none"/>
              </w:rPr>
              <w:t>主要生产设备有：</w:t>
            </w:r>
            <w:r>
              <w:rPr>
                <w:rFonts w:hint="eastAsia"/>
                <w:highlight w:val="none"/>
                <w:u w:val="single"/>
              </w:rPr>
              <w:t>磨光机、切割机、电焊机、手垃葫芦等</w:t>
            </w:r>
            <w:r>
              <w:rPr>
                <w:rFonts w:hint="eastAsia"/>
                <w:highlight w:val="none"/>
                <w:u w:val="single"/>
                <w:lang w:eastAsia="zh-CN"/>
              </w:rPr>
              <w:t>；</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消防控制</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12</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cs="Times New Roman"/>
              </w:rPr>
            </w:pPr>
            <w:r>
              <w:rPr>
                <w:rFonts w:hint="eastAsia" w:ascii="Wingdings" w:hAnsi="Wingdings"/>
                <w:lang w:eastAsia="zh-CN"/>
              </w:rPr>
              <w:sym w:font="Wingdings 2" w:char="0052"/>
            </w:r>
            <w:r>
              <w:rPr>
                <w:rFonts w:hint="eastAsia"/>
              </w:rPr>
              <w:t>定期（每年</w:t>
            </w:r>
            <w:r>
              <w:rPr>
                <w:rFonts w:hint="eastAsia" w:ascii="Times New Roman" w:hAnsi="Times New Roman" w:cs="Times New Roman"/>
              </w:rPr>
              <w:t>）：20</w:t>
            </w:r>
            <w:r>
              <w:rPr>
                <w:rFonts w:hint="eastAsia" w:ascii="Times New Roman" w:hAnsi="Times New Roman" w:cs="Times New Roman"/>
                <w:lang w:val="en-US" w:eastAsia="zh-CN"/>
              </w:rPr>
              <w:t>21</w:t>
            </w:r>
            <w:r>
              <w:rPr>
                <w:rFonts w:hint="eastAsia" w:ascii="Times New Roman" w:hAnsi="Times New Roman" w:cs="Times New Roman"/>
              </w:rPr>
              <w:t>年</w:t>
            </w:r>
            <w:r>
              <w:rPr>
                <w:rFonts w:hint="eastAsia" w:ascii="Times New Roman" w:hAnsi="Times New Roman" w:cs="Times New Roman"/>
                <w:lang w:val="en-US" w:eastAsia="zh-CN"/>
              </w:rPr>
              <w:t>8</w:t>
            </w:r>
            <w:r>
              <w:rPr>
                <w:rFonts w:hint="eastAsia" w:ascii="Times New Roman" w:hAnsi="Times New Roman" w:cs="Times New Roman"/>
              </w:rPr>
              <w:t>月</w:t>
            </w:r>
            <w:r>
              <w:rPr>
                <w:rFonts w:hint="eastAsia" w:ascii="Times New Roman" w:hAnsi="Times New Roman" w:cs="Times New Roman"/>
                <w:lang w:val="en-US" w:eastAsia="zh-CN"/>
              </w:rPr>
              <w:t>20</w:t>
            </w:r>
            <w:r>
              <w:rPr>
                <w:rFonts w:hint="eastAsia" w:ascii="Times New Roman" w:hAnsi="Times New Roman" w:cs="Times New Roman"/>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pPr>
              <w:rPr>
                <w:highlight w:val="none"/>
              </w:rPr>
            </w:pPr>
            <w:r>
              <w:rPr>
                <w:rFonts w:hint="eastAsia"/>
                <w:highlight w:val="none"/>
              </w:rPr>
              <w:t>《职业病体检》编号：</w:t>
            </w:r>
            <w:r>
              <w:rPr>
                <w:rFonts w:hint="eastAsia"/>
                <w:highlight w:val="none"/>
                <w:lang w:val="en-US" w:eastAsia="zh-CN"/>
              </w:rPr>
              <w:t>/</w:t>
            </w:r>
            <w:r>
              <w:rPr>
                <w:rFonts w:hint="eastAsia"/>
                <w:highlight w:val="none"/>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2021年10月14-15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最高管理者已按策划的时间间隔，在2021年10月25日对组织的职业健康安全管理体系进行了评审，以确保其持续的适宜性、充分性和有效性；管理评审输入、输出均按要求提供。并对提出的改进措施进行了落实。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sym w:font="Wingdings 2" w:char="00A3"/>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195"/>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195"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195"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195"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195"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195"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195"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95"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3CC45F5"/>
    <w:rsid w:val="1F3237A6"/>
    <w:rsid w:val="4B2B2FD8"/>
    <w:rsid w:val="62C53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19317</Words>
  <Characters>20291</Characters>
  <Lines>150</Lines>
  <Paragraphs>42</Paragraphs>
  <TotalTime>5</TotalTime>
  <ScaleCrop>false</ScaleCrop>
  <LinksUpToDate>false</LinksUpToDate>
  <CharactersWithSpaces>20413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2021-12-26T01:17:45Z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