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318"/>
        <w:gridCol w:w="1100"/>
        <w:gridCol w:w="1391"/>
        <w:gridCol w:w="1268"/>
        <w:gridCol w:w="1480"/>
        <w:gridCol w:w="186"/>
        <w:gridCol w:w="1505"/>
        <w:gridCol w:w="13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21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3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瑞昌市宏瑞船舶工程有限公司</w:t>
            </w:r>
            <w:bookmarkEnd w:id="7"/>
          </w:p>
        </w:tc>
        <w:tc>
          <w:tcPr>
            <w:tcW w:w="169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5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Q：20.01.01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E：20.01.01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O：20.01.01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吴文龙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Q：20.01.01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E：20.01.01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O：20.01.01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89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彭鹰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2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运输—吊装—安装—焊接—打磨—油漆—报检—交付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2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关键过程：安装、焊接、油漆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需确认的过程：焊接、油漆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2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因素有</w:t>
            </w:r>
            <w:r>
              <w:rPr>
                <w:rFonts w:hint="eastAsia"/>
                <w:b/>
                <w:sz w:val="20"/>
              </w:rPr>
              <w:t>固废</w:t>
            </w:r>
            <w:r>
              <w:rPr>
                <w:rFonts w:hint="eastAsia"/>
                <w:b/>
                <w:sz w:val="20"/>
                <w:lang w:val="en-US" w:eastAsia="zh-CN"/>
              </w:rPr>
              <w:t>排放</w:t>
            </w:r>
            <w:r>
              <w:rPr>
                <w:rFonts w:hint="eastAsia"/>
                <w:b/>
                <w:sz w:val="20"/>
              </w:rPr>
              <w:t>、潜在火灾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噪声排放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废气排放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val="en-US" w:eastAsia="zh-CN"/>
              </w:rPr>
              <w:t>等；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控制措施：运行控制、应急管理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2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不可接受风险的危险源</w:t>
            </w: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粉尘、焊尘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烟尘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噪音伤害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潜在触电、火灾事故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控制措施：运行控制、应急管理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22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中华人民共和国消防法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通风管道技术规程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通风与空调工程施工质量验收规范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涂装作业安全规程 有机废气净化装置安全技术规定（GB20101-2006）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涂装作业安全规程 有限空间作业安全技术要求（GB12942-2006）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2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外观、密封性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2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吴文龙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213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9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褚敏杰</w:t>
            </w:r>
            <w:bookmarkEnd w:id="9"/>
            <w:bookmarkStart w:id="10" w:name="_GoBack"/>
            <w:bookmarkEnd w:id="10"/>
          </w:p>
        </w:tc>
        <w:tc>
          <w:tcPr>
            <w:tcW w:w="293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A9B4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7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2021-12-15T08:56:06Z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