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1276-2021-QEO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浙江鼎海科技股份有限公司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2022年03月16日 上午至2022年03月16日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三门县珠岙镇金湖洋开发区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r>
              <w:rPr>
                <w:b/>
                <w:color w:val="000000"/>
                <w:szCs w:val="21"/>
              </w:rPr>
              <w:t>E:14.02.04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林兵</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2021-N1QMS-5059501</w:t>
            </w:r>
          </w:p>
          <w:p>
            <w:pPr>
              <w:spacing w:line="240" w:lineRule="exact"/>
              <w:jc w:val="center"/>
              <w:rPr>
                <w:b/>
                <w:color w:val="000000"/>
                <w:szCs w:val="21"/>
              </w:rPr>
            </w:pPr>
            <w:r>
              <w:rPr>
                <w:b/>
                <w:color w:val="000000"/>
                <w:szCs w:val="21"/>
              </w:rPr>
              <w:t>2020-N1EMS-3059501</w:t>
            </w:r>
          </w:p>
          <w:p>
            <w:pPr>
              <w:spacing w:line="240" w:lineRule="exact"/>
              <w:jc w:val="center"/>
              <w:rPr>
                <w:b/>
                <w:color w:val="000000"/>
                <w:szCs w:val="21"/>
              </w:rPr>
            </w:pPr>
            <w:r>
              <w:rPr>
                <w:b/>
                <w:color w:val="000000"/>
                <w:szCs w:val="21"/>
              </w:rPr>
              <w:t>2019-N1OHSMS-2059501</w:t>
            </w:r>
          </w:p>
        </w:tc>
        <w:tc>
          <w:tcPr>
            <w:tcW w:w="1140" w:type="dxa"/>
            <w:vAlign w:val="center"/>
          </w:tcPr>
          <w:p>
            <w:pPr>
              <w:spacing w:line="240" w:lineRule="exact"/>
              <w:jc w:val="center"/>
              <w:rPr>
                <w:b/>
                <w:color w:val="000000"/>
                <w:szCs w:val="21"/>
              </w:rPr>
            </w:pPr>
            <w:r>
              <w:rPr>
                <w:b/>
                <w:color w:val="000000"/>
                <w:szCs w:val="21"/>
              </w:rPr>
              <w:t>E:14.02.04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蒋建峰</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ISC[S]0424</w:t>
            </w:r>
          </w:p>
          <w:p>
            <w:pPr>
              <w:spacing w:line="240" w:lineRule="exact"/>
              <w:jc w:val="center"/>
              <w:rPr>
                <w:b/>
                <w:color w:val="000000"/>
                <w:szCs w:val="21"/>
              </w:rPr>
            </w:pPr>
            <w:r>
              <w:rPr>
                <w:b/>
                <w:color w:val="000000"/>
                <w:szCs w:val="21"/>
              </w:rPr>
              <w:t>ISC[S]0424</w:t>
            </w:r>
          </w:p>
          <w:p>
            <w:pPr>
              <w:spacing w:line="240" w:lineRule="exact"/>
              <w:jc w:val="center"/>
              <w:rPr>
                <w:b/>
                <w:color w:val="000000"/>
                <w:szCs w:val="21"/>
              </w:rPr>
            </w:pPr>
            <w:r>
              <w:rPr>
                <w:b/>
                <w:color w:val="000000"/>
                <w:szCs w:val="21"/>
              </w:rPr>
              <w:t>ISC[S]0424</w:t>
            </w:r>
          </w:p>
          <w:p>
            <w:pPr>
              <w:spacing w:line="240" w:lineRule="exact"/>
              <w:jc w:val="center"/>
              <w:rPr>
                <w:b/>
                <w:color w:val="000000"/>
                <w:szCs w:val="21"/>
              </w:rPr>
            </w:pPr>
            <w:r>
              <w:rPr>
                <w:b/>
                <w:color w:val="000000"/>
                <w:szCs w:val="21"/>
              </w:rPr>
              <w:t>杭州昊海企业管理咨询有限公司</w:t>
            </w:r>
          </w:p>
        </w:tc>
        <w:tc>
          <w:tcPr>
            <w:tcW w:w="1140" w:type="dxa"/>
            <w:vAlign w:val="center"/>
          </w:tcPr>
          <w:p>
            <w:pPr>
              <w:spacing w:line="240" w:lineRule="exact"/>
              <w:jc w:val="center"/>
              <w:rPr>
                <w:b/>
                <w:color w:val="000000"/>
                <w:szCs w:val="21"/>
              </w:rPr>
            </w:pPr>
            <w:r>
              <w:rPr>
                <w:b/>
                <w:color w:val="000000"/>
                <w:szCs w:val="21"/>
              </w:rPr>
              <w:t>Q:14.02.04</w:t>
            </w:r>
          </w:p>
          <w:p>
            <w:pPr>
              <w:spacing w:line="240" w:lineRule="exact"/>
              <w:jc w:val="center"/>
              <w:rPr>
                <w:b/>
                <w:color w:val="000000"/>
                <w:szCs w:val="21"/>
              </w:rPr>
            </w:pPr>
            <w:r>
              <w:rPr>
                <w:b/>
                <w:color w:val="000000"/>
                <w:szCs w:val="21"/>
              </w:rPr>
              <w:t>E:14.02.04</w:t>
            </w:r>
          </w:p>
          <w:p>
            <w:pPr>
              <w:spacing w:line="240" w:lineRule="exact"/>
              <w:jc w:val="center"/>
              <w:rPr>
                <w:b/>
                <w:color w:val="000000"/>
                <w:szCs w:val="21"/>
              </w:rPr>
            </w:pPr>
            <w:r>
              <w:rPr>
                <w:b/>
                <w:color w:val="000000"/>
                <w:szCs w:val="21"/>
              </w:rPr>
              <w:t>O:14.02.04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浙江鼎海科技股份有限公司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三门县珠岙镇金湖洋开发区</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317100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三门县珠岙镇金湖洋开发区</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317100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张涛</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13736582805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吴小宋</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张涛</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bookmarkStart w:id="35" w:name="审核范围"/>
            <w:r>
              <w:t>Q：塑料制品（交通锥，交通柱，弹性隔离栏，隔离墩，防眩设施，轮廓标，突起路标）的设计和生产</w:t>
            </w:r>
          </w:p>
          <w:p>
            <w:r>
              <w:t>E：塑料制品（交通锥，交通柱，弹性隔离栏，隔离墩，防眩设施，轮廓标，突起路标）的设计和生产所涉及场所的相关环境管理活动</w:t>
            </w:r>
          </w:p>
          <w:p>
            <w:pPr>
              <w:tabs>
                <w:tab w:val="left" w:pos="360"/>
              </w:tabs>
              <w:ind w:left="360" w:hanging="360"/>
              <w:rPr>
                <w:rFonts w:ascii="宋体" w:hAnsi="宋体"/>
                <w:b/>
                <w:color w:val="000000"/>
                <w:szCs w:val="21"/>
              </w:rPr>
            </w:pPr>
            <w:r>
              <w:t>O：塑料制品（交通锥，交通柱，弹性隔离栏，隔离墩，防眩设施，轮廓标，突起路标）的设计和生产所涉及场所的相关职业健康安全管理活动</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b/>
                <w:sz w:val="20"/>
                <w:lang w:val="en-US" w:eastAsia="zh-CN"/>
              </w:rPr>
              <w:t>设备调试→模具安装→烘料→充填→保压冷却→脱模→首检→修边→终检→包装入库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塑料制品（交通锥，交通柱，弹性隔离栏，隔离墩，防眩设施，轮廓标，突起路标）的设计和生产</w:t>
            </w:r>
          </w:p>
        </w:tc>
        <w:tc>
          <w:tcPr>
            <w:tcW w:w="2006" w:type="dxa"/>
            <w:gridSpan w:val="3"/>
            <w:vAlign w:val="center"/>
          </w:tcPr>
          <w:p>
            <w:pPr>
              <w:spacing w:line="400" w:lineRule="exact"/>
              <w:rPr>
                <w:rFonts w:ascii="宋体" w:hAnsi="宋体"/>
                <w:b/>
                <w:color w:val="000000"/>
                <w:szCs w:val="21"/>
              </w:rPr>
            </w:pPr>
            <w:r>
              <w:t>14.02.04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塑料制品（交通锥，交通柱，弹性隔离栏，隔离墩，防眩设施，轮廓标，突起路标）的设计和生产所涉及场所的相关环境管理活动</w:t>
            </w:r>
          </w:p>
        </w:tc>
        <w:tc>
          <w:tcPr>
            <w:tcW w:w="2006" w:type="dxa"/>
            <w:gridSpan w:val="3"/>
            <w:vAlign w:val="center"/>
          </w:tcPr>
          <w:p>
            <w:pPr>
              <w:spacing w:line="400" w:lineRule="exact"/>
              <w:rPr>
                <w:rFonts w:ascii="宋体" w:hAnsi="宋体"/>
                <w:b/>
                <w:color w:val="000000"/>
                <w:szCs w:val="21"/>
              </w:rPr>
            </w:pPr>
            <w:r>
              <w:t>14.02.04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塑料制品（交通锥，交通柱，弹性隔离栏，隔离墩，防眩设施，轮廓标，突起路标）的设计和生产所涉及场所的相关职业健康安全管理活动</w:t>
            </w:r>
          </w:p>
        </w:tc>
        <w:tc>
          <w:tcPr>
            <w:tcW w:w="2006" w:type="dxa"/>
            <w:gridSpan w:val="3"/>
            <w:vAlign w:val="center"/>
          </w:tcPr>
          <w:p>
            <w:pPr>
              <w:spacing w:line="400" w:lineRule="exact"/>
              <w:rPr>
                <w:rFonts w:ascii="宋体" w:hAnsi="宋体"/>
                <w:b/>
                <w:color w:val="000000"/>
                <w:szCs w:val="21"/>
              </w:rPr>
            </w:pPr>
            <w:r>
              <w:t>14.02.04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浙江鼎海科技股份有限公司</w:t>
            </w:r>
            <w:r>
              <w:rPr>
                <w:rFonts w:hint="eastAsia"/>
                <w:sz w:val="21"/>
                <w:szCs w:val="21"/>
                <w:lang w:val="en-US" w:eastAsia="zh-CN"/>
              </w:rPr>
              <w:t>/</w:t>
            </w:r>
            <w:r>
              <w:rPr>
                <w:sz w:val="21"/>
                <w:szCs w:val="21"/>
              </w:rPr>
              <w:t>三门县珠岙镇金湖洋开发区</w:t>
            </w:r>
          </w:p>
        </w:tc>
        <w:tc>
          <w:tcPr>
            <w:tcW w:w="2267" w:type="dxa"/>
          </w:tcPr>
          <w:p>
            <w:pPr>
              <w:spacing w:before="40" w:after="40"/>
              <w:rPr>
                <w:rFonts w:eastAsia="黑体"/>
                <w:szCs w:val="21"/>
                <w:lang w:val="de-DE" w:eastAsia="ja-JP"/>
              </w:rPr>
            </w:pPr>
            <w:r>
              <w:rPr>
                <w:sz w:val="21"/>
                <w:szCs w:val="21"/>
              </w:rPr>
              <w:t>三门县珠岙镇金湖洋开发区</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35</w:t>
            </w:r>
          </w:p>
        </w:tc>
        <w:tc>
          <w:tcPr>
            <w:tcW w:w="2803" w:type="dxa"/>
            <w:vAlign w:val="center"/>
          </w:tcPr>
          <w:p>
            <w:r>
              <w:t>Q：塑料制品（交通锥，交通柱，弹性隔离栏，隔离墩，防眩设施，轮廓标，突起路标）的设计和生产</w:t>
            </w:r>
          </w:p>
          <w:p>
            <w:r>
              <w:t>E：塑料制品（交通锥，交通柱，弹性隔离栏，隔离墩，防眩设施，轮廓标，突起路标）的设计和生产所涉及场所的相关环境管理活动</w:t>
            </w:r>
          </w:p>
          <w:p>
            <w:pPr>
              <w:pStyle w:val="19"/>
              <w:rPr>
                <w:rFonts w:eastAsia="黑体" w:cs="Arial"/>
                <w:sz w:val="21"/>
                <w:szCs w:val="21"/>
                <w:lang w:val="en-US" w:eastAsia="ja-JP"/>
              </w:rPr>
            </w:pPr>
            <w:r>
              <w:t>O：塑料制品（交通锥，交通柱，弹性隔离栏，隔离墩，防眩设施，轮廓标，突起路标）的设计和生产所涉及场所的相关职业健康安全管理活动</w:t>
            </w:r>
          </w:p>
        </w:tc>
        <w:tc>
          <w:tcPr>
            <w:tcW w:w="669"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ISO45001：2018</w:t>
            </w:r>
          </w:p>
          <w:p>
            <w:pPr>
              <w:spacing w:before="40" w:after="40"/>
              <w:rPr>
                <w:rFonts w:eastAsia="黑体"/>
                <w:szCs w:val="21"/>
                <w:lang w:eastAsia="ja-JP"/>
              </w:rPr>
            </w:pPr>
          </w:p>
        </w:tc>
        <w:sdt>
          <w:sdtPr>
            <w:rPr>
              <w:rFonts w:hint="eastAsia" w:ascii="宋体" w:hAnsi="宋体" w:eastAsia="宋体" w:cs="宋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Times New Roman" w:eastAsia="Times New Roman" w:cs="Times New Roman"/>
                <w:b/>
                <w:color w:val="000000"/>
                <w:kern w:val="2"/>
                <w:sz w:val="21"/>
                <w:szCs w:val="21"/>
                <w:lang w:val="de-DE" w:eastAsia="zh-CN" w:bidi="ar-SA"/>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hAnsi="Times New Roman" w:eastAsia="Times New Roman" w:cs="Times New Roman"/>
                <w:b/>
                <w:color w:val="000000"/>
                <w:kern w:val="2"/>
                <w:sz w:val="21"/>
                <w:szCs w:val="21"/>
                <w:lang w:val="en-GB" w:eastAsia="zh-CN" w:bidi="ar-SA"/>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hAnsi="Times New Roman" w:eastAsia="Times New Roman" w:cs="Times New Roman"/>
                <w:b/>
                <w:color w:val="000000"/>
                <w:kern w:val="2"/>
                <w:sz w:val="21"/>
                <w:szCs w:val="21"/>
                <w:lang w:val="en-GB" w:eastAsia="zh-CN" w:bidi="ar-SA"/>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hAnsi="Times New Roman" w:eastAsia="Times New Roman" w:cs="Times New Roman"/>
                <w:b/>
                <w:color w:val="000000"/>
                <w:kern w:val="2"/>
                <w:sz w:val="21"/>
                <w:szCs w:val="21"/>
                <w:lang w:val="en-GB" w:eastAsia="zh-CN" w:bidi="ar-SA"/>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hAnsi="Times New Roman" w:eastAsia="Times New Roman" w:cs="Times New Roman"/>
                <w:b/>
                <w:color w:val="000000"/>
                <w:kern w:val="2"/>
                <w:sz w:val="21"/>
                <w:szCs w:val="21"/>
                <w:lang w:val="en-US" w:eastAsia="zh-CN" w:bidi="ar-SA"/>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hAnsi="Times New Roman" w:eastAsia="Times New Roman" w:cs="Times New Roman"/>
                <w:b/>
                <w:color w:val="000000"/>
                <w:kern w:val="2"/>
                <w:sz w:val="21"/>
                <w:szCs w:val="21"/>
                <w:lang w:val="en-GB" w:eastAsia="zh-CN" w:bidi="ar-SA"/>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Times New Roman" w:eastAsia="Times New Roman" w:cs="Times New Roman"/>
                <w:b/>
                <w:color w:val="000000"/>
                <w:kern w:val="2"/>
                <w:sz w:val="21"/>
                <w:szCs w:val="21"/>
                <w:lang w:val="en-US" w:eastAsia="zh-CN" w:bidi="ar-SA"/>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hAnsi="Times New Roman" w:eastAsia="Times New Roman" w:cs="Times New Roman"/>
                <w:b/>
                <w:color w:val="000000"/>
                <w:kern w:val="2"/>
                <w:sz w:val="21"/>
                <w:szCs w:val="21"/>
                <w:lang w:val="en-GB" w:eastAsia="zh-CN" w:bidi="ar-SA"/>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hAnsi="Times New Roman" w:eastAsia="Times New Roman" w:cs="Times New Roman"/>
                <w:b/>
                <w:color w:val="000000"/>
                <w:kern w:val="2"/>
                <w:sz w:val="21"/>
                <w:szCs w:val="21"/>
                <w:lang w:val="en-US" w:eastAsia="zh-CN" w:bidi="ar-SA"/>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hAnsi="Times New Roman" w:eastAsia="Times New Roman" w:cs="Times New Roman"/>
                <w:b/>
                <w:color w:val="000000"/>
                <w:kern w:val="2"/>
                <w:sz w:val="21"/>
                <w:szCs w:val="21"/>
                <w:lang w:val="en-US" w:eastAsia="zh-CN" w:bidi="ar-SA"/>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2021年9月11日-12日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2021年9月18日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A3"/>
            </w:r>
            <w:r>
              <w:rPr>
                <w:rFonts w:hint="eastAsia" w:ascii="宋体" w:hAnsi="宋体"/>
                <w:color w:val="000000"/>
                <w:szCs w:val="21"/>
              </w:rPr>
              <w:t>有</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注塑过程、吹塑过程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lang w:val="en-US" w:eastAsia="zh-CN"/>
              </w:rPr>
              <w:t>注塑过程、吹塑过程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w:t>
            </w:r>
            <w:r>
              <w:rPr>
                <w:rFonts w:hint="eastAsia" w:ascii="宋体"/>
                <w:color w:val="000000"/>
                <w:spacing w:val="-10"/>
                <w:szCs w:val="21"/>
              </w:rPr>
              <w:sym w:font="Wingdings 2" w:char="00A3"/>
            </w:r>
            <w:r>
              <w:rPr>
                <w:rFonts w:hint="eastAsia" w:ascii="宋体"/>
                <w:color w:val="000000"/>
                <w:spacing w:val="-10"/>
                <w:szCs w:val="21"/>
              </w:rPr>
              <w:t>危险化学品仓库、</w:t>
            </w:r>
            <w:r>
              <w:rPr>
                <w:rFonts w:hint="eastAsia" w:ascii="宋体"/>
                <w:color w:val="000000"/>
                <w:spacing w:val="-10"/>
                <w:szCs w:val="21"/>
              </w:rPr>
              <w:sym w:font="Wingdings 2" w:char="0052"/>
            </w:r>
            <w:r>
              <w:rPr>
                <w:rFonts w:hint="eastAsia" w:ascii="宋体"/>
                <w:color w:val="000000"/>
                <w:spacing w:val="-10"/>
                <w:szCs w:val="21"/>
              </w:rPr>
              <w:t>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2022-03-1</w:t>
            </w:r>
            <w:bookmarkEnd w:id="36"/>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sym w:font="Wingdings 2" w:char="0052"/>
            </w:r>
            <w:r>
              <w:rPr>
                <w:rFonts w:hint="eastAsia" w:ascii="宋体" w:hAnsi="宋体"/>
                <w:color w:val="000000"/>
                <w:szCs w:val="21"/>
              </w:rPr>
              <w:t>是</w:t>
            </w:r>
          </w:p>
        </w:tc>
        <w:tc>
          <w:tcPr>
            <w:tcW w:w="755"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bookmarkStart w:id="37" w:name="_GoBack"/>
            <w:bookmarkEnd w:id="37"/>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rPr>
          <w:rFonts w:hint="eastAsia" w:ascii="宋体" w:hAnsi="宋体"/>
          <w:b/>
          <w:color w:val="000000"/>
          <w:szCs w:val="21"/>
        </w:rPr>
      </w:pPr>
      <w:r>
        <w:rPr>
          <w:rFonts w:hint="eastAsia" w:ascii="宋体" w:hAnsi="宋体"/>
          <w:b/>
          <w:color w:val="000000"/>
          <w:szCs w:val="21"/>
        </w:rPr>
        <w:br w:type="page"/>
      </w: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塑料制品（交通锥，交通柱，弹性隔离栏，隔离墩，防眩设施，轮廓标，突起路标）的设计和生产</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14.02.04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塑料制品（交通锥，交通柱，弹性隔离栏，隔离墩，防眩设施，轮廓标，突起路标）的设计和生产所涉及场所的相关环境管理活动</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lang w:val="en-US" w:eastAsia="zh-CN"/>
              </w:rPr>
              <w:t>14.02.04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塑料制品（交通锥，交通柱，弹性隔离栏，隔离墩，防眩设施，轮廓标，突起路标）的设计和生产所涉及场所的相关职业健康安全管理活动</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lang w:val="en-US" w:eastAsia="zh-CN"/>
              </w:rPr>
              <w:t>14.02.04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2022年3月16日</w:t>
      </w:r>
      <w:r>
        <w:rPr>
          <w:rFonts w:ascii="宋体" w:hAnsi="宋体"/>
          <w:b/>
          <w:color w:val="000000"/>
          <w:szCs w:val="21"/>
        </w:rPr>
        <w:t xml:space="preserve"> </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b/>
                <w:color w:val="000000"/>
                <w:szCs w:val="21"/>
                <w:lang w:val="en-US" w:eastAsia="zh-CN"/>
              </w:rPr>
              <w:t>2022年3月16日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b/>
                <w:color w:val="000000"/>
                <w:szCs w:val="21"/>
                <w:lang w:val="en-US" w:eastAsia="zh-CN"/>
              </w:rPr>
              <w:t>2022年3月16日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ascii="宋体" w:hAnsi="宋体"/>
                <w:b/>
                <w:color w:val="000000"/>
                <w:szCs w:val="21"/>
                <w:lang w:val="en-US" w:eastAsia="zh-CN"/>
              </w:rPr>
              <w:t>2022年3月16日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466E7398"/>
    <w:rsid w:val="654B1E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2022-03-18T08:33:13Z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