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宝鸡市瑞焱金属磨料有限责任公司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18.01.05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王凯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下料-加热-粗模锻-加热-精锻-热处理-检验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精锻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重要环境特性 (因素)及控制方法：潜在火灾、噪音排放、资源能源消耗、固体废弃物排放、粉尘排放。控制方法：应急准备和响应控制程序，应急预案和重要环境因素管理方案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rPr>
                <w:b/>
                <w:sz w:val="20"/>
              </w:rPr>
            </w:pPr>
            <w:r>
              <w:rPr>
                <w:rFonts w:hint="eastAsia"/>
                <w:color w:val="auto"/>
                <w:szCs w:val="18"/>
                <w:lang w:val="en-GB" w:eastAsia="zh-CN"/>
              </w:rPr>
              <w:t>GB/T 10923-2009锻压机械 精度检验通则、GB 13318-2003锻造生产安全与环保通则、GB/T 20911-2007锻造用半成品尺寸、形状和质量公差、GB/T 25135-2010锻造工艺质量控制规范、JB/T 4120-2017大型锻造合金钢支承辊 技术条件、</w:t>
            </w:r>
            <w:r>
              <w:rPr>
                <w:rFonts w:hint="eastAsia" w:ascii="Arial" w:hAnsi="Arial" w:eastAsia="宋体" w:cs="Times New Roman"/>
                <w:color w:val="auto"/>
                <w:kern w:val="0"/>
                <w:sz w:val="18"/>
                <w:szCs w:val="18"/>
                <w:lang w:val="en-GB" w:eastAsia="zh-CN" w:bidi="ar-SA"/>
              </w:rPr>
              <w:t>JB/T 4202-2008钢的锻造余热淬火回火处理</w:t>
            </w:r>
            <w:r>
              <w:rPr>
                <w:rFonts w:hint="eastAsia"/>
                <w:color w:val="auto"/>
                <w:szCs w:val="18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</w:t>
            </w:r>
            <w:r>
              <w:rPr>
                <w:rFonts w:hint="eastAsia"/>
                <w:color w:val="auto"/>
                <w:sz w:val="18"/>
                <w:szCs w:val="18"/>
                <w:lang w:val="en-GB"/>
              </w:rPr>
              <w:t>工业企业厂界环境噪声排放标准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FB32A5"/>
    <w:rsid w:val="4D87635D"/>
    <w:rsid w:val="7A715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Body 9p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2021-12-09T00:49:12Z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