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0579-2020-Q-2021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南京优越三维科技有限公司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ISC-Q-2020-1152</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91320102MA1YKNDP98</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南京优越三维科技有限公司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塑料制品加工（三维打印）</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南京市江宁区胜太西路168号(江宁开发区)</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南京市江宁区苏源大道98号同腾创业园</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南京优越三维科技有限公司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ISC-Q-2020-1152</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南京市江宁区苏源大道98号同腾创业园</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