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0579-2020-Q-2021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南京优越三维科技有限公司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南京优越三维科技有限公司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南京市江宁区胜太西路168号(江宁开发区)</w:t>
            </w:r>
            <w:bookmarkEnd w:id="6"/>
          </w:p>
        </w:tc>
        <w:tc>
          <w:tcPr>
            <w:tcW w:w="1242" w:type="dxa"/>
            <w:vMerge w:val="restart"/>
            <w:vAlign w:val="center"/>
          </w:tcPr>
          <w:p>
            <w:r>
              <w:rPr>
                <w:rFonts w:hint="eastAsia"/>
              </w:rPr>
              <w:t>邮编</w:t>
            </w:r>
          </w:p>
        </w:tc>
        <w:tc>
          <w:tcPr>
            <w:tcW w:w="1771" w:type="dxa"/>
          </w:tcPr>
          <w:p>
            <w:bookmarkStart w:id="7" w:name="注册邮编"/>
            <w:r>
              <w:t>210000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南京市江宁区苏源大道98号同腾创业园</w:t>
            </w:r>
            <w:bookmarkEnd w:id="8"/>
          </w:p>
        </w:tc>
        <w:tc>
          <w:tcPr>
            <w:tcW w:w="1242" w:type="dxa"/>
            <w:vMerge w:val="continue"/>
            <w:vAlign w:val="center"/>
          </w:tcPr>
          <w:p/>
        </w:tc>
        <w:tc>
          <w:tcPr>
            <w:tcW w:w="1771" w:type="dxa"/>
          </w:tcPr>
          <w:p>
            <w:bookmarkStart w:id="9" w:name="办公邮编"/>
            <w:r>
              <w:t>210000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张元倚</w:t>
            </w:r>
            <w:bookmarkEnd w:id="10"/>
          </w:p>
        </w:tc>
        <w:tc>
          <w:tcPr>
            <w:tcW w:w="1313" w:type="dxa"/>
            <w:vAlign w:val="center"/>
          </w:tcPr>
          <w:p>
            <w:r>
              <w:rPr>
                <w:rFonts w:hint="eastAsia"/>
              </w:rPr>
              <w:t>电话.</w:t>
            </w:r>
          </w:p>
        </w:tc>
        <w:tc>
          <w:tcPr>
            <w:tcW w:w="2180" w:type="dxa"/>
            <w:vAlign w:val="center"/>
          </w:tcPr>
          <w:p>
            <w:bookmarkStart w:id="11" w:name="联系人电话"/>
            <w:r>
              <w:t>13770702029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张元倚</w:t>
            </w:r>
            <w:bookmarkEnd w:id="13"/>
          </w:p>
        </w:tc>
        <w:tc>
          <w:tcPr>
            <w:tcW w:w="1313" w:type="dxa"/>
            <w:vAlign w:val="center"/>
          </w:tcPr>
          <w:p>
            <w:r>
              <w:rPr>
                <w:rFonts w:hint="eastAsia"/>
              </w:rPr>
              <w:t>管理者代表</w:t>
            </w:r>
          </w:p>
        </w:tc>
        <w:tc>
          <w:tcPr>
            <w:tcW w:w="2180" w:type="dxa"/>
          </w:tcPr>
          <w:p>
            <w:bookmarkStart w:id="14" w:name="管理者代表"/>
            <w:r>
              <w:t>张元倚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suppressLineNumbers w:val="0"/>
              <w:spacing w:before="0" w:beforeAutospacing="0" w:after="0" w:afterAutospacing="0"/>
              <w:ind w:left="0" w:right="0"/>
              <w:textAlignment w:val="baseline"/>
              <w:rPr>
                <w:rFonts w:hint="eastAsia" w:ascii="宋体" w:hAnsi="Times New Roman" w:eastAsia="宋体" w:cs="Times New Roman"/>
                <w:color w:val="000000"/>
                <w:kern w:val="2"/>
                <w:sz w:val="21"/>
                <w:szCs w:val="21"/>
                <w:highlight w:val="none"/>
                <w:lang w:val="en-US" w:eastAsia="zh-CN" w:bidi="ar-SA"/>
              </w:rPr>
            </w:pPr>
            <w:r>
              <w:rPr>
                <w:rFonts w:hint="eastAsia" w:ascii="宋体" w:hAnsi="Times New Roman" w:eastAsia="宋体" w:cs="Times New Roman"/>
                <w:color w:val="000000"/>
                <w:kern w:val="2"/>
                <w:sz w:val="21"/>
                <w:szCs w:val="21"/>
                <w:highlight w:val="none"/>
                <w:lang w:val="en-US" w:eastAsia="zh-CN" w:bidi="ar-SA"/>
              </w:rPr>
              <w:t>生产工艺流程：获得3D数据----查看图档---转换图档格式---根据图档排放工件摆放位置---根据图档设置支撑---加工调整扫描速度---取件清洗去支撑---检测---后期处理---入库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2021年12月10日 上午至2021年12月10日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塑料制品加工（三维打印）</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2020年7月1日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2020年10月23日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ascii="宋体" w:hAnsi="宋体"/>
                <w:b/>
                <w:color w:val="000000" w:themeColor="text1"/>
                <w:sz w:val="20"/>
                <w:szCs w:val="20"/>
              </w:rPr>
            </w:pPr>
            <w:r>
              <w:rPr>
                <w:rFonts w:hint="eastAsia" w:ascii="宋体" w:hAnsi="宋体"/>
                <w:b/>
                <w:color w:val="000000" w:themeColor="text1"/>
                <w:sz w:val="20"/>
                <w:szCs w:val="20"/>
              </w:rPr>
              <w:t>南京优越三维科技有限公司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宋体" w:hAnsi="宋体"/>
                <w:b/>
                <w:color w:val="000000" w:themeColor="text1"/>
                <w:sz w:val="20"/>
                <w:szCs w:val="20"/>
              </w:rPr>
              <w:t>南京市江宁区胜太西路168号(江宁开发区)</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宋体" w:hAnsi="宋体"/>
                <w:b/>
                <w:color w:val="000000" w:themeColor="text1"/>
                <w:sz w:val="20"/>
                <w:szCs w:val="20"/>
              </w:rPr>
              <w:t>南京市江宁区苏源大道98号同腾创业园</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15</w:t>
            </w:r>
          </w:p>
        </w:tc>
        <w:tc>
          <w:tcPr>
            <w:tcW w:w="2803" w:type="dxa"/>
            <w:vAlign w:val="center"/>
          </w:tcPr>
          <w:p>
            <w:pPr>
              <w:pStyle w:val="20"/>
              <w:keepNext w:val="0"/>
              <w:keepLines w:val="0"/>
              <w:suppressLineNumbers w:val="0"/>
              <w:spacing w:beforeAutospacing="0" w:afterAutospacing="0"/>
              <w:ind w:left="0" w:leftChars="0" w:right="0" w:rightChars="0"/>
              <w:rPr>
                <w:lang w:eastAsia="ja-JP"/>
              </w:rPr>
            </w:pPr>
            <w:r>
              <w:rPr>
                <w:rFonts w:hint="eastAsia" w:ascii="宋体" w:hAnsi="宋体"/>
                <w:szCs w:val="21"/>
              </w:rPr>
              <w:t xml:space="preserve">塑料制品加工（三维打印） </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lang w:val="de-DE"/>
              </w:rPr>
              <w:t>GB/T19001</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针对初审不符合，未能提供游标卡尺检测报告，已整改，未再发生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color w:val="auto"/>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color w:val="auto"/>
                      <w:vertAlign w:val="baseline"/>
                      <w:lang w:val="en-US" w:eastAsia="zh-CN"/>
                    </w:rPr>
                  </w:pPr>
                  <w:r>
                    <w:rPr>
                      <w:rFonts w:hint="eastAsia"/>
                      <w:color w:val="auto"/>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■外部招工难；■社会经济环境；■行业竞争需求；■国家的法律法规；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■财务状况；■加工设备设施；■人员流动；■管理绩效</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cyan"/>
                      <w:vertAlign w:val="baseline"/>
                      <w:lang w:val="en-US" w:eastAsia="zh-CN"/>
                    </w:rPr>
                  </w:pPr>
                  <w:r>
                    <w:rPr>
                      <w:rFonts w:hint="eastAsia"/>
                      <w:color w:val="auto"/>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cyan"/>
                      <w:vertAlign w:val="baseline"/>
                      <w:lang w:val="en-US" w:eastAsia="zh-CN"/>
                    </w:rPr>
                  </w:pPr>
                  <w:r>
                    <w:rPr>
                      <w:rFonts w:hint="eastAsia"/>
                      <w:color w:val="auto"/>
                      <w:highlight w:val="none"/>
                      <w:vertAlign w:val="baseline"/>
                      <w:lang w:val="en-US" w:eastAsia="zh-CN"/>
                    </w:rPr>
                    <w:t>重要的相关方</w:t>
                  </w:r>
                  <w:r>
                    <w:rPr>
                      <w:rFonts w:hint="eastAsia"/>
                      <w:color w:val="auto"/>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rPr>
                    <w:sym w:font="Wingdings 2" w:char="0052"/>
                  </w:r>
                  <w:r>
                    <w:rPr>
                      <w:rFonts w:hint="eastAsia"/>
                      <w:color w:val="auto"/>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rPr>
                    <w:sym w:font="Wingdings 2" w:char="0052"/>
                  </w:r>
                  <w:r>
                    <w:rPr>
                      <w:rFonts w:hint="eastAsia"/>
                      <w:color w:val="auto"/>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rPr>
                    <w:sym w:font="Wingdings 2" w:char="0052"/>
                  </w:r>
                  <w:r>
                    <w:rPr>
                      <w:rFonts w:hint="eastAsia"/>
                      <w:color w:val="auto"/>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eastAsia="zh-CN"/>
                    </w:rPr>
                    <w:sym w:font="Wingdings 2" w:char="0052"/>
                  </w:r>
                  <w:r>
                    <w:rPr>
                      <w:rFonts w:hint="eastAsia"/>
                      <w:color w:val="auto"/>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rPr>
                    <w:sym w:font="Wingdings 2" w:char="0052"/>
                  </w:r>
                  <w:r>
                    <w:rPr>
                      <w:rFonts w:hint="eastAsia"/>
                      <w:color w:val="auto"/>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color w:val="auto"/>
                      <w:highlight w:val="none"/>
                      <w:lang w:eastAsia="zh-CN"/>
                    </w:rPr>
                    <w:sym w:font="Wingdings 2" w:char="0052"/>
                  </w:r>
                  <w:r>
                    <w:rPr>
                      <w:rFonts w:hint="eastAsia"/>
                      <w:color w:val="auto"/>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A3"/>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客户满意   共创双赢    卓越品质   技术领先</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QMS的主管部门是——管理层、办公室、供销部、生产部、质检部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5019"/>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主要的风险描述</w:t>
                  </w:r>
                </w:p>
              </w:tc>
              <w:tc>
                <w:tcPr>
                  <w:tcW w:w="5350"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1.对市场需要产品的发展趋势判断失误。                 </w:t>
                  </w:r>
                </w:p>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eastAsia="宋体" w:cs="宋体"/>
                      <w:color w:val="auto"/>
                      <w:kern w:val="0"/>
                      <w:sz w:val="20"/>
                      <w:szCs w:val="20"/>
                    </w:rPr>
                    <w:t xml:space="preserve"> 2.客户要求识别不完整。      3.未能确保能够满足客户要求就签署合同。</w:t>
                  </w:r>
                </w:p>
              </w:tc>
              <w:tc>
                <w:tcPr>
                  <w:tcW w:w="5350"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eastAsia="宋体" w:cs="宋体"/>
                      <w:color w:val="auto"/>
                      <w:kern w:val="0"/>
                      <w:sz w:val="20"/>
                      <w:szCs w:val="20"/>
                    </w:rPr>
                    <w:t>1.对市场需求产品的发展趋势分析应该经过反复论证。                  2.对客户的要求实施监视和测量。                          3.在确定与客户签署合同前落实合同评审事宜。                   相关文件：《产品和服务要求控制程序》</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eastAsia="宋体" w:cs="宋体"/>
                      <w:color w:val="auto"/>
                      <w:kern w:val="0"/>
                      <w:sz w:val="20"/>
                      <w:szCs w:val="20"/>
                    </w:rPr>
                    <w:t>1.计划制定不合理，导致无法按时完成计划任务，从而延误产品交付。</w:t>
                  </w:r>
                </w:p>
              </w:tc>
              <w:tc>
                <w:tcPr>
                  <w:tcW w:w="5350" w:type="dxa"/>
                  <w:vAlign w:val="top"/>
                </w:tcPr>
                <w:p>
                  <w:pPr>
                    <w:keepNext w:val="0"/>
                    <w:keepLines w:val="0"/>
                    <w:widowControl/>
                    <w:numPr>
                      <w:ilvl w:val="0"/>
                      <w:numId w:val="2"/>
                    </w:numPr>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合理计算公司的实际产能。    </w:t>
                  </w:r>
                </w:p>
                <w:p>
                  <w:pPr>
                    <w:keepNext w:val="0"/>
                    <w:keepLines w:val="0"/>
                    <w:widowControl/>
                    <w:numPr>
                      <w:ilvl w:val="0"/>
                      <w:numId w:val="2"/>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依据产品特点和本公司的实际产能合理安排生产计划。 </w:t>
                  </w:r>
                </w:p>
                <w:p>
                  <w:pPr>
                    <w:keepNext w:val="0"/>
                    <w:keepLines w:val="0"/>
                    <w:suppressLineNumbers w:val="0"/>
                    <w:spacing w:before="0" w:beforeAutospacing="0" w:after="0" w:afterAutospacing="0"/>
                    <w:ind w:left="0" w:right="0"/>
                    <w:rPr>
                      <w:rFonts w:hint="eastAsia"/>
                      <w:color w:val="auto"/>
                    </w:rPr>
                  </w:pPr>
                  <w:r>
                    <w:rPr>
                      <w:rFonts w:hint="eastAsia" w:ascii="宋体" w:hAnsi="宋体" w:eastAsia="宋体" w:cs="宋体"/>
                      <w:color w:val="auto"/>
                      <w:kern w:val="0"/>
                      <w:sz w:val="20"/>
                      <w:szCs w:val="20"/>
                    </w:rPr>
                    <w:t>安排跟单员全程跟进生产计划的实现过程。</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eastAsia="宋体" w:cs="宋体"/>
                      <w:color w:val="auto"/>
                      <w:kern w:val="0"/>
                      <w:sz w:val="20"/>
                      <w:szCs w:val="20"/>
                    </w:rPr>
                    <w:t>1.顾客投诉未能有效解决。2.顾客满意度低，导致顾客丢失。</w:t>
                  </w:r>
                </w:p>
              </w:tc>
              <w:tc>
                <w:tcPr>
                  <w:tcW w:w="5350" w:type="dxa"/>
                  <w:vAlign w:val="top"/>
                </w:tcPr>
                <w:p>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对所接到的客户投诉登记汇总，安排专人负责处理并及时回复客户。客诉处理一律以8D报告格式存档。</w:t>
                  </w:r>
                </w:p>
                <w:p>
                  <w:pPr>
                    <w:keepNext w:val="0"/>
                    <w:keepLines w:val="0"/>
                    <w:suppressLineNumbers w:val="0"/>
                    <w:spacing w:before="0" w:beforeAutospacing="0" w:after="0" w:afterAutospacing="0"/>
                    <w:ind w:left="0" w:right="0"/>
                    <w:rPr>
                      <w:rFonts w:hint="eastAsia"/>
                      <w:color w:val="auto"/>
                    </w:rPr>
                  </w:pPr>
                  <w:r>
                    <w:rPr>
                      <w:rFonts w:hint="eastAsia" w:ascii="宋体" w:hAnsi="宋体" w:eastAsia="宋体" w:cs="宋体"/>
                      <w:color w:val="auto"/>
                      <w:kern w:val="0"/>
                      <w:sz w:val="20"/>
                      <w:szCs w:val="20"/>
                    </w:rPr>
                    <w:t>2.确保产品质量和交期，与客户保持积极沟通，以确保客户的满意度，从而稳定客户。</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t>主要的机遇描述</w:t>
                  </w:r>
                </w:p>
              </w:tc>
              <w:tc>
                <w:tcPr>
                  <w:tcW w:w="3675" w:type="dxa"/>
                </w:tcPr>
                <w:p>
                  <w:pPr>
                    <w:keepNext w:val="0"/>
                    <w:keepLines w:val="0"/>
                    <w:suppressLineNumbers w:val="0"/>
                    <w:spacing w:before="0" w:beforeAutospacing="0" w:after="0" w:afterAutospacing="0"/>
                    <w:ind w:left="0" w:right="0"/>
                    <w:rPr>
                      <w:rFonts w:hint="eastAsia"/>
                      <w:b w:val="0"/>
                      <w:bCs w:val="0"/>
                      <w:color w:val="auto"/>
                      <w:szCs w:val="24"/>
                    </w:rPr>
                  </w:pPr>
                  <w:r>
                    <w:rPr>
                      <w:rFonts w:hint="eastAsia"/>
                      <w:b w:val="0"/>
                      <w:bCs w:val="0"/>
                      <w:color w:val="auto"/>
                    </w:rPr>
                    <w:t>应对措施</w:t>
                  </w: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shd w:val="clear" w:color="auto" w:fill="auto"/>
                  <w:vAlign w:val="top"/>
                </w:tcPr>
                <w:p>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国家环保要求不断提高，小企业面临关闭，有利于产品销售</w:t>
                  </w:r>
                </w:p>
              </w:tc>
              <w:tc>
                <w:tcPr>
                  <w:tcW w:w="3675" w:type="dxa"/>
                  <w:vAlign w:val="top"/>
                </w:tcPr>
                <w:p>
                  <w:pPr>
                    <w:keepNext w:val="0"/>
                    <w:keepLines w:val="0"/>
                    <w:suppressLineNumbers w:val="0"/>
                    <w:spacing w:before="0" w:beforeAutospacing="0" w:after="0" w:afterAutospacing="0"/>
                    <w:ind w:left="0" w:right="0"/>
                    <w:rPr>
                      <w:rFonts w:hint="eastAsia"/>
                      <w:b w:val="0"/>
                      <w:bCs w:val="0"/>
                      <w:color w:val="auto"/>
                    </w:rPr>
                  </w:pPr>
                  <w:r>
                    <w:rPr>
                      <w:rFonts w:hint="eastAsia" w:ascii="宋体" w:hAnsi="宋体" w:eastAsia="宋体" w:cs="宋体"/>
                      <w:b w:val="0"/>
                      <w:bCs w:val="0"/>
                      <w:color w:val="auto"/>
                      <w:kern w:val="0"/>
                      <w:sz w:val="20"/>
                      <w:szCs w:val="20"/>
                    </w:rPr>
                    <w:t>加强市场开发</w:t>
                  </w: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sym w:font="Wingdings" w:char="00FE"/>
                  </w:r>
                  <w:r>
                    <w:rPr>
                      <w:rFonts w:hint="eastAsia"/>
                      <w:b w:val="0"/>
                      <w:bCs w:val="0"/>
                      <w:color w:val="auto"/>
                    </w:rPr>
                    <w:t>有效</w:t>
                  </w:r>
                  <w:r>
                    <w:rPr>
                      <w:rFonts w:hint="eastAsia"/>
                      <w:b w:val="0"/>
                      <w:bCs w:val="0"/>
                      <w:color w:val="auto"/>
                    </w:rPr>
                    <w:sym w:font="Wingdings" w:char="00A8"/>
                  </w:r>
                  <w:r>
                    <w:rPr>
                      <w:rFonts w:hint="eastAsia"/>
                      <w:b w:val="0"/>
                      <w:bCs w:val="0"/>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b w:val="0"/>
                      <w:bCs w:val="0"/>
                      <w:color w:val="auto"/>
                      <w:szCs w:val="24"/>
                    </w:rPr>
                  </w:pPr>
                </w:p>
              </w:tc>
              <w:tc>
                <w:tcPr>
                  <w:tcW w:w="3675" w:type="dxa"/>
                </w:tcPr>
                <w:p>
                  <w:pPr>
                    <w:keepNext w:val="0"/>
                    <w:keepLines w:val="0"/>
                    <w:suppressLineNumbers w:val="0"/>
                    <w:spacing w:before="0" w:beforeAutospacing="0" w:after="0" w:afterAutospacing="0"/>
                    <w:ind w:left="0" w:right="0"/>
                    <w:rPr>
                      <w:rFonts w:hint="eastAsia"/>
                      <w:b w:val="0"/>
                      <w:bCs w:val="0"/>
                      <w:color w:val="auto"/>
                    </w:rPr>
                  </w:pP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sym w:font="Wingdings" w:char="00A8"/>
                  </w:r>
                  <w:r>
                    <w:rPr>
                      <w:rFonts w:hint="eastAsia"/>
                      <w:b w:val="0"/>
                      <w:bCs w:val="0"/>
                      <w:color w:val="auto"/>
                    </w:rPr>
                    <w:t>有效</w:t>
                  </w:r>
                  <w:r>
                    <w:rPr>
                      <w:rFonts w:hint="eastAsia"/>
                      <w:b w:val="0"/>
                      <w:bCs w:val="0"/>
                      <w:color w:val="auto"/>
                    </w:rPr>
                    <w:sym w:font="Wingdings" w:char="00A8"/>
                  </w:r>
                  <w:r>
                    <w:rPr>
                      <w:rFonts w:hint="eastAsia"/>
                      <w:b w:val="0"/>
                      <w:bCs w:val="0"/>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1256"/>
              <w:gridCol w:w="2563"/>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52" w:type="dxa"/>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目标</w:t>
                  </w:r>
                </w:p>
              </w:tc>
              <w:tc>
                <w:tcPr>
                  <w:tcW w:w="1443" w:type="dxa"/>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考核频次</w:t>
                  </w:r>
                </w:p>
              </w:tc>
              <w:tc>
                <w:tcPr>
                  <w:tcW w:w="2934" w:type="dxa"/>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计算方法</w:t>
                  </w:r>
                </w:p>
              </w:tc>
              <w:tc>
                <w:tcPr>
                  <w:tcW w:w="2444" w:type="dxa"/>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产品出厂合格率100%；</w:t>
                  </w:r>
                </w:p>
              </w:tc>
              <w:tc>
                <w:tcPr>
                  <w:tcW w:w="1443" w:type="dxa"/>
                  <w:vAlign w:val="top"/>
                </w:tcPr>
                <w:p>
                  <w:pPr>
                    <w:keepNext w:val="0"/>
                    <w:keepLines w:val="0"/>
                    <w:suppressLineNumbers w:val="0"/>
                    <w:spacing w:before="0" w:beforeAutospacing="0" w:after="0" w:afterAutospacing="0"/>
                    <w:ind w:left="0" w:right="0"/>
                    <w:rPr>
                      <w:rFonts w:hint="eastAsia"/>
                      <w:color w:val="auto"/>
                      <w:szCs w:val="18"/>
                    </w:rPr>
                  </w:pPr>
                  <w:r>
                    <w:rPr>
                      <w:rFonts w:hint="eastAsia"/>
                      <w:color w:val="auto"/>
                      <w:szCs w:val="21"/>
                    </w:rPr>
                    <w:t>次/月</w:t>
                  </w:r>
                </w:p>
              </w:tc>
              <w:tc>
                <w:tcPr>
                  <w:tcW w:w="2934" w:type="dxa"/>
                  <w:vAlign w:val="top"/>
                </w:tcPr>
                <w:p>
                  <w:pPr>
                    <w:keepNext w:val="0"/>
                    <w:keepLines w:val="0"/>
                    <w:suppressLineNumbers w:val="0"/>
                    <w:spacing w:before="0" w:beforeAutospacing="0" w:after="0" w:afterAutospacing="0" w:line="440" w:lineRule="exact"/>
                    <w:ind w:left="0" w:right="0"/>
                    <w:rPr>
                      <w:rFonts w:hint="eastAsia"/>
                      <w:color w:val="auto"/>
                      <w:szCs w:val="18"/>
                    </w:rPr>
                  </w:pPr>
                  <w:r>
                    <w:rPr>
                      <w:rFonts w:hint="eastAsia"/>
                      <w:color w:val="auto"/>
                      <w:szCs w:val="21"/>
                    </w:rPr>
                    <w:t>产品出厂合格品数/产品出厂总数×100%</w:t>
                  </w:r>
                </w:p>
              </w:tc>
              <w:tc>
                <w:tcPr>
                  <w:tcW w:w="2444" w:type="dxa"/>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顾客满意度达到≥9</w:t>
                  </w:r>
                  <w:r>
                    <w:rPr>
                      <w:rFonts w:hint="eastAsia"/>
                      <w:color w:val="auto"/>
                      <w:szCs w:val="18"/>
                      <w:lang w:val="en-US" w:eastAsia="zh-CN"/>
                    </w:rPr>
                    <w:t>0</w:t>
                  </w:r>
                  <w:r>
                    <w:rPr>
                      <w:rFonts w:hint="eastAsia"/>
                      <w:color w:val="auto"/>
                      <w:szCs w:val="18"/>
                    </w:rPr>
                    <w:t xml:space="preserve">% </w:t>
                  </w:r>
                </w:p>
              </w:tc>
              <w:tc>
                <w:tcPr>
                  <w:tcW w:w="1443" w:type="dxa"/>
                  <w:vAlign w:val="top"/>
                </w:tcPr>
                <w:p>
                  <w:pPr>
                    <w:keepNext w:val="0"/>
                    <w:keepLines w:val="0"/>
                    <w:suppressLineNumbers w:val="0"/>
                    <w:spacing w:before="0" w:beforeAutospacing="0" w:after="0" w:afterAutospacing="0"/>
                    <w:ind w:left="0" w:right="0"/>
                    <w:rPr>
                      <w:rFonts w:hint="eastAsia"/>
                      <w:color w:val="auto"/>
                      <w:szCs w:val="18"/>
                    </w:rPr>
                  </w:pPr>
                  <w:r>
                    <w:rPr>
                      <w:rFonts w:hint="eastAsia"/>
                      <w:color w:val="auto"/>
                      <w:szCs w:val="21"/>
                    </w:rPr>
                    <w:t>次/年</w:t>
                  </w:r>
                </w:p>
              </w:tc>
              <w:tc>
                <w:tcPr>
                  <w:tcW w:w="2934" w:type="dxa"/>
                  <w:vAlign w:val="center"/>
                </w:tcPr>
                <w:p>
                  <w:pPr>
                    <w:keepNext w:val="0"/>
                    <w:keepLines w:val="0"/>
                    <w:suppressLineNumbers w:val="0"/>
                    <w:spacing w:before="0" w:beforeAutospacing="0" w:after="0" w:afterAutospacing="0" w:line="440" w:lineRule="exact"/>
                    <w:ind w:left="0" w:right="0"/>
                    <w:rPr>
                      <w:rFonts w:hint="eastAsia"/>
                      <w:color w:val="auto"/>
                      <w:szCs w:val="18"/>
                    </w:rPr>
                  </w:pPr>
                  <w:r>
                    <w:rPr>
                      <w:rFonts w:hint="eastAsia"/>
                      <w:color w:val="auto"/>
                      <w:szCs w:val="21"/>
                    </w:rPr>
                    <w:t>质量、服务、交付期等项目分数之和/项目数×100%</w:t>
                  </w:r>
                </w:p>
              </w:tc>
              <w:tc>
                <w:tcPr>
                  <w:tcW w:w="2444" w:type="dxa"/>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lang w:val="en-US" w:eastAsia="zh-CN"/>
                    </w:rPr>
                    <w:t>96</w:t>
                  </w:r>
                  <w:r>
                    <w:rPr>
                      <w:rFonts w:hint="eastAsia"/>
                      <w:color w:val="auto"/>
                      <w:szCs w:val="18"/>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800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2</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u w:val="single"/>
              </w:rPr>
              <w:t>联泰打印机</w:t>
            </w:r>
            <w:r>
              <w:rPr>
                <w:rFonts w:hint="eastAsia"/>
                <w:u w:val="single"/>
                <w:lang w:eastAsia="zh-CN"/>
              </w:rPr>
              <w:t>、盈普打印机、超声波清洗机、亿台喷砂机</w:t>
            </w:r>
            <w:r>
              <w:rPr>
                <w:rFonts w:hint="eastAsia"/>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w:t>
            </w:r>
            <w:r>
              <w:rPr>
                <w:rFonts w:hint="eastAsia"/>
                <w:u w:val="single"/>
                <w:lang w:val="en-US" w:eastAsia="zh-CN"/>
              </w:rPr>
              <w:t xml:space="preserve">  游标卡尺 </w:t>
            </w:r>
            <w:r>
              <w:rPr>
                <w:rFonts w:hint="eastAsia"/>
                <w:u w:val="single"/>
              </w:rPr>
              <w:t xml:space="preserve">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无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szCs w:val="21"/>
                      <w:u w:val="single"/>
                      <w:lang w:eastAsia="zh-CN"/>
                    </w:rPr>
                    <w:t>塑料制品加工（三维打印）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b w:val="0"/>
                      <w:bCs w:val="0"/>
                      <w:color w:val="auto"/>
                      <w:szCs w:val="22"/>
                      <w:u w:val="single"/>
                      <w:lang w:val="en-US" w:eastAsia="zh-CN"/>
                    </w:rPr>
                    <w:t>排锅（根据图档排放工件摆放位置，设置支撑）</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b w:val="0"/>
                      <w:bCs w:val="0"/>
                      <w:color w:val="auto"/>
                      <w:szCs w:val="22"/>
                      <w:u w:val="single"/>
                      <w:lang w:val="en-US" w:eastAsia="zh-CN"/>
                    </w:rPr>
                    <w:t>根据图档排放工件摆放位置，设置支撑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b w:val="0"/>
                <w:bCs w:val="0"/>
                <w:color w:val="auto"/>
                <w:szCs w:val="22"/>
                <w:u w:val="single"/>
                <w:lang w:val="en-US" w:eastAsia="zh-CN"/>
              </w:rPr>
              <w:t>排锅（根据图档排放工件摆放位置，设置支撑）</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其他-无售后</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公司产品出厂前进行检测，销售产品均为客户需求模型，检测合格后销售，不存在售后服务</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其他-无</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11</w:t>
            </w:r>
            <w:r>
              <w:rPr>
                <w:rFonts w:hint="eastAsia"/>
                <w:vertAlign w:val="baseline"/>
                <w:lang w:val="en-US" w:eastAsia="zh-CN"/>
              </w:rPr>
              <w:t>月</w:t>
            </w:r>
            <w:r>
              <w:rPr>
                <w:rFonts w:hint="eastAsia"/>
                <w:u w:val="single"/>
                <w:vertAlign w:val="baseline"/>
                <w:lang w:val="en-US" w:eastAsia="zh-CN"/>
              </w:rPr>
              <w:t xml:space="preserve"> 9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11</w:t>
            </w:r>
            <w:r>
              <w:rPr>
                <w:rFonts w:hint="eastAsia"/>
                <w:vertAlign w:val="baseline"/>
                <w:lang w:val="en-US" w:eastAsia="zh-CN"/>
              </w:rPr>
              <w:t>月</w:t>
            </w:r>
            <w:r>
              <w:rPr>
                <w:rFonts w:hint="eastAsia"/>
                <w:u w:val="single"/>
                <w:vertAlign w:val="baseline"/>
                <w:lang w:val="en-US" w:eastAsia="zh-CN"/>
              </w:rPr>
              <w:t xml:space="preserve">17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bookmarkStart w:id="34" w:name="_GoBack"/>
            <w:bookmarkEnd w:id="34"/>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8EAA0"/>
    <w:multiLevelType w:val="singleLevel"/>
    <w:tmpl w:val="DBF8EAA0"/>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7A3F6C80"/>
    <w:multiLevelType w:val="singleLevel"/>
    <w:tmpl w:val="7A3F6C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A0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2021-12-10T03:18:06Z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