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7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5271770" cy="7451725"/>
            <wp:effectExtent l="0" t="0" r="11430" b="3175"/>
            <wp:wrapNone/>
            <wp:docPr id="1" name="图片 1" descr="ISC-B-I-17 材料真实性自我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SC-B-I-17 材料真实性自我声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天津市东方瑞祥工程咨询有限公司</w:t>
      </w:r>
      <w:bookmarkEnd w:id="0"/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</w:rPr>
        <w:t>天津市东方瑞祥工程咨询有限公司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817F5D"/>
    <w:rsid w:val="324156F1"/>
    <w:rsid w:val="39B458C9"/>
    <w:rsid w:val="3CE04E79"/>
    <w:rsid w:val="431A3A16"/>
    <w:rsid w:val="75515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hb</cp:lastModifiedBy>
  <cp:lastPrinted>2019-04-22T01:40:00Z</cp:lastPrinted>
  <dcterms:modified xsi:type="dcterms:W3CDTF">2021-12-30T13:30:18Z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