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1270-2021-Q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青岛芊亿恒智能机械科技有限公司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91370211057262861B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青岛芊亿恒智能机械科技有限公司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建筑废弃物资源化综合利用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山东省青岛市黄岛区朝阳山路东、胶州湾西路北</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山东省青岛市黄岛区朝阳山路东、胶州湾西路北</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val="en-US" w:eastAsia="zh-CN"/>
              </w:rPr>
            </w:pPr>
            <w:r>
              <w:rPr>
                <w:rFonts w:hint="eastAsia" w:cs="Arial"/>
                <w:b/>
                <w:bCs/>
                <w:sz w:val="22"/>
                <w:szCs w:val="16"/>
                <w:lang w:val="en-US" w:eastAsia="zh-CN"/>
              </w:rPr>
              <w:t>Qingdao Qianyiheng Intelligent Machinery Technology</w:t>
            </w:r>
            <w:r>
              <w:rPr>
                <w:rFonts w:cs="Arial"/>
                <w:b/>
                <w:bCs/>
                <w:sz w:val="22"/>
                <w:szCs w:val="16"/>
              </w:rPr>
              <w:t xml:space="preserve"> Co.</w:t>
            </w:r>
            <w:r>
              <w:rPr>
                <w:rFonts w:hint="eastAsia" w:cs="Arial"/>
                <w:b/>
                <w:bCs/>
                <w:sz w:val="22"/>
                <w:szCs w:val="16"/>
                <w:lang w:val="en-US" w:eastAsia="zh-CN"/>
              </w:rPr>
              <w:t>,</w:t>
            </w:r>
            <w:r>
              <w:rPr>
                <w:rFonts w:cs="Arial"/>
                <w:b/>
                <w:bCs/>
                <w:sz w:val="22"/>
                <w:szCs w:val="16"/>
              </w:rPr>
              <w:t>Ltd</w:t>
            </w:r>
            <w:r>
              <w:rPr>
                <w:rFonts w:hint="eastAsia" w:cs="Arial"/>
                <w:b/>
                <w:bCs/>
                <w:sz w:val="22"/>
                <w:szCs w:val="16"/>
                <w:lang w:val="en-US" w:eastAsia="zh-CN"/>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default" w:eastAsia="宋体"/>
                <w:sz w:val="22"/>
                <w:szCs w:val="22"/>
                <w:lang w:val="en-US" w:eastAsia="zh-CN"/>
              </w:rPr>
            </w:pPr>
            <w:bookmarkStart w:id="24" w:name="_GoBack"/>
            <w:bookmarkEnd w:id="24"/>
            <w:r>
              <w:rPr>
                <w:rFonts w:hint="eastAsia"/>
                <w:sz w:val="22"/>
                <w:szCs w:val="22"/>
                <w:lang w:val="en-US" w:eastAsia="zh-CN"/>
              </w:rPr>
              <w:t>Comprehensive utilization of construction waste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East of Chaoyangshan Road</w:t>
            </w:r>
            <w:r>
              <w:rPr>
                <w:rFonts w:cs="Arial"/>
                <w:b/>
                <w:bCs/>
                <w:sz w:val="22"/>
                <w:szCs w:val="16"/>
              </w:rPr>
              <w:t>,</w:t>
            </w:r>
            <w:r>
              <w:rPr>
                <w:rFonts w:hint="eastAsia" w:cs="Arial"/>
                <w:b/>
                <w:bCs/>
                <w:sz w:val="22"/>
                <w:szCs w:val="16"/>
              </w:rPr>
              <w:t xml:space="preserve"> </w:t>
            </w:r>
            <w:r>
              <w:rPr>
                <w:rFonts w:hint="eastAsia" w:cs="Arial"/>
                <w:b/>
                <w:bCs/>
                <w:sz w:val="22"/>
                <w:szCs w:val="16"/>
                <w:lang w:val="en-US" w:eastAsia="zh-CN"/>
              </w:rPr>
              <w:t xml:space="preserve">North of Jiaozhouwan West Road,Huangdao </w:t>
            </w:r>
            <w:r>
              <w:rPr>
                <w:rFonts w:cs="Arial"/>
                <w:b/>
                <w:bCs/>
                <w:sz w:val="22"/>
                <w:szCs w:val="16"/>
              </w:rPr>
              <w:t>District,</w:t>
            </w:r>
            <w:r>
              <w:rPr>
                <w:rFonts w:hint="eastAsia" w:cs="Arial"/>
                <w:b/>
                <w:bCs/>
                <w:sz w:val="22"/>
                <w:szCs w:val="16"/>
              </w:rPr>
              <w:t xml:space="preserve"> </w:t>
            </w:r>
            <w:r>
              <w:rPr>
                <w:rFonts w:hint="eastAsia" w:cs="Arial"/>
                <w:b/>
                <w:bCs/>
                <w:sz w:val="22"/>
                <w:szCs w:val="16"/>
                <w:lang w:val="en-US" w:eastAsia="zh-CN"/>
              </w:rPr>
              <w:t>Qingdao City,Shandong</w:t>
            </w:r>
            <w:r>
              <w:rPr>
                <w:rFonts w:hint="eastAsia" w:cs="Arial"/>
                <w:b/>
                <w:bCs/>
                <w:sz w:val="22"/>
                <w:szCs w:val="16"/>
              </w:rPr>
              <w:t xml:space="preserve"> Province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East of Chaoyangshan Road</w:t>
            </w:r>
            <w:r>
              <w:rPr>
                <w:rFonts w:cs="Arial"/>
                <w:b/>
                <w:bCs/>
                <w:sz w:val="22"/>
                <w:szCs w:val="16"/>
              </w:rPr>
              <w:t>,</w:t>
            </w:r>
            <w:r>
              <w:rPr>
                <w:rFonts w:hint="eastAsia" w:cs="Arial"/>
                <w:b/>
                <w:bCs/>
                <w:sz w:val="22"/>
                <w:szCs w:val="16"/>
              </w:rPr>
              <w:t xml:space="preserve"> </w:t>
            </w:r>
            <w:r>
              <w:rPr>
                <w:rFonts w:hint="eastAsia" w:cs="Arial"/>
                <w:b/>
                <w:bCs/>
                <w:sz w:val="22"/>
                <w:szCs w:val="16"/>
                <w:lang w:val="en-US" w:eastAsia="zh-CN"/>
              </w:rPr>
              <w:t xml:space="preserve">North of Jiaozhouwan West Road,Huangdao </w:t>
            </w:r>
            <w:r>
              <w:rPr>
                <w:rFonts w:cs="Arial"/>
                <w:b/>
                <w:bCs/>
                <w:sz w:val="22"/>
                <w:szCs w:val="16"/>
              </w:rPr>
              <w:t>District,</w:t>
            </w:r>
            <w:r>
              <w:rPr>
                <w:rFonts w:hint="eastAsia" w:cs="Arial"/>
                <w:b/>
                <w:bCs/>
                <w:sz w:val="22"/>
                <w:szCs w:val="16"/>
              </w:rPr>
              <w:t xml:space="preserve"> </w:t>
            </w:r>
            <w:r>
              <w:rPr>
                <w:rFonts w:hint="eastAsia" w:cs="Arial"/>
                <w:b/>
                <w:bCs/>
                <w:sz w:val="22"/>
                <w:szCs w:val="16"/>
                <w:lang w:val="en-US" w:eastAsia="zh-CN"/>
              </w:rPr>
              <w:t>Qingdao City,Shandong</w:t>
            </w:r>
            <w:r>
              <w:rPr>
                <w:rFonts w:hint="eastAsia" w:cs="Arial"/>
                <w:b/>
                <w:bCs/>
                <w:sz w:val="22"/>
                <w:szCs w:val="16"/>
              </w:rPr>
              <w:t xml:space="preserve"> Province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青岛芊亿恒智能机械科技有限公司</w:t>
      </w:r>
      <w:bookmarkEnd w:id="21"/>
      <w:r>
        <w:rPr>
          <w:rFonts w:hint="eastAsia"/>
          <w:b/>
          <w:color w:val="000000" w:themeColor="text1"/>
          <w:sz w:val="22"/>
          <w:szCs w:val="22"/>
        </w:rPr>
        <w:t>证书注册号：</w:t>
      </w:r>
      <w:bookmarkStart w:id="22" w:name="证书编号Add1"/>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山东省青岛市黄岛区朝阳山路东、胶州湾西路北</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73B2C"/>
    <w:rsid w:val="79054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10</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心晴</cp:lastModifiedBy>
  <cp:lastPrinted>2019-05-13T03:13:00Z</cp:lastPrinted>
  <dcterms:modified xsi:type="dcterms:W3CDTF">2021-12-09T01:30:20Z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882632127774425B93225E5C81AADFF3</vt:lpwstr>
  </property>
  <property fmtid="{D5CDD505-2E9C-101B-9397-08002B2CF9AE}" pid="3" name="KSOProductBuildVer">
    <vt:lpwstr>2052-11.1.0.11115</vt:lpwstr>
  </property>
</Properties>
</file>