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1282-2021-QEO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86"/>
        <w:gridCol w:w="1600"/>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459"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河北康宇自动化科技有限公司</w:t>
            </w:r>
            <w:bookmarkEnd w:id="1"/>
          </w:p>
        </w:tc>
        <w:tc>
          <w:tcPr>
            <w:tcW w:w="16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327"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459" w:type="dxa"/>
            <w:gridSpan w:val="2"/>
          </w:tcPr>
          <w:p>
            <w:pPr>
              <w:snapToGrid w:val="0"/>
              <w:spacing w:line="0" w:lineRule="atLeast"/>
              <w:jc w:val="center"/>
              <w:rPr>
                <w:sz w:val="22"/>
                <w:szCs w:val="22"/>
              </w:rPr>
            </w:pPr>
          </w:p>
        </w:tc>
        <w:tc>
          <w:tcPr>
            <w:tcW w:w="1600" w:type="dxa"/>
          </w:tcPr>
          <w:p>
            <w:pPr>
              <w:snapToGrid w:val="0"/>
              <w:spacing w:line="0" w:lineRule="atLeast"/>
              <w:jc w:val="center"/>
              <w:rPr>
                <w:sz w:val="22"/>
                <w:szCs w:val="22"/>
              </w:rPr>
            </w:pPr>
            <w:r>
              <w:rPr>
                <w:rFonts w:hint="eastAsia"/>
                <w:sz w:val="22"/>
                <w:szCs w:val="22"/>
                <w:lang w:val="en-GB"/>
              </w:rPr>
              <w:t>证书号</w:t>
            </w:r>
          </w:p>
        </w:tc>
        <w:tc>
          <w:tcPr>
            <w:tcW w:w="2327"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459" w:type="dxa"/>
            <w:gridSpan w:val="2"/>
          </w:tcPr>
          <w:p>
            <w:pPr>
              <w:snapToGrid w:val="0"/>
              <w:spacing w:line="0" w:lineRule="atLeast"/>
              <w:jc w:val="center"/>
              <w:rPr>
                <w:sz w:val="22"/>
                <w:szCs w:val="22"/>
              </w:rPr>
            </w:pPr>
            <w:bookmarkStart w:id="4" w:name="机构代码"/>
            <w:r>
              <w:rPr>
                <w:sz w:val="22"/>
                <w:szCs w:val="22"/>
              </w:rPr>
              <w:t>91130101320147538W</w:t>
            </w:r>
            <w:bookmarkEnd w:id="4"/>
          </w:p>
        </w:tc>
        <w:tc>
          <w:tcPr>
            <w:tcW w:w="1600" w:type="dxa"/>
          </w:tcPr>
          <w:p>
            <w:pPr>
              <w:snapToGrid w:val="0"/>
              <w:spacing w:line="0" w:lineRule="atLeast"/>
              <w:jc w:val="center"/>
              <w:rPr>
                <w:sz w:val="22"/>
                <w:szCs w:val="22"/>
              </w:rPr>
            </w:pPr>
            <w:r>
              <w:rPr>
                <w:rFonts w:hint="eastAsia"/>
                <w:sz w:val="22"/>
                <w:szCs w:val="22"/>
              </w:rPr>
              <w:t>是否带CNAS标志</w:t>
            </w:r>
          </w:p>
        </w:tc>
        <w:tc>
          <w:tcPr>
            <w:tcW w:w="2327"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459" w:type="dxa"/>
            <w:gridSpan w:val="2"/>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 </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600" w:type="dxa"/>
          </w:tcPr>
          <w:p>
            <w:pPr>
              <w:snapToGrid w:val="0"/>
              <w:spacing w:line="0" w:lineRule="atLeast"/>
              <w:jc w:val="center"/>
              <w:rPr>
                <w:sz w:val="22"/>
                <w:szCs w:val="22"/>
              </w:rPr>
            </w:pPr>
            <w:r>
              <w:rPr>
                <w:rFonts w:hint="eastAsia"/>
                <w:sz w:val="22"/>
                <w:szCs w:val="22"/>
              </w:rPr>
              <w:t>企业体系有效人数</w:t>
            </w:r>
          </w:p>
        </w:tc>
        <w:tc>
          <w:tcPr>
            <w:tcW w:w="2327" w:type="dxa"/>
          </w:tcPr>
          <w:p>
            <w:pPr>
              <w:snapToGrid w:val="0"/>
              <w:spacing w:line="0" w:lineRule="atLeast"/>
              <w:jc w:val="center"/>
              <w:rPr>
                <w:sz w:val="22"/>
                <w:szCs w:val="22"/>
              </w:rPr>
            </w:pPr>
            <w:bookmarkStart w:id="8" w:name="体系人数"/>
            <w:r>
              <w:rPr>
                <w:sz w:val="22"/>
                <w:szCs w:val="22"/>
              </w:rPr>
              <w:t>Q:10,E:10,O:10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3" w:name="组织名称Add1"/>
            <w:r>
              <w:rPr>
                <w:rFonts w:hint="eastAsia"/>
                <w:sz w:val="22"/>
                <w:szCs w:val="22"/>
              </w:rPr>
              <w:t>河北康宇自动化科技有限公司</w:t>
            </w:r>
            <w:bookmarkEnd w:id="13"/>
          </w:p>
        </w:tc>
        <w:tc>
          <w:tcPr>
            <w:tcW w:w="5013" w:type="dxa"/>
            <w:gridSpan w:val="3"/>
            <w:vMerge w:val="restart"/>
          </w:tcPr>
          <w:p>
            <w:pPr>
              <w:snapToGrid w:val="0"/>
              <w:spacing w:line="0" w:lineRule="atLeast"/>
              <w:jc w:val="left"/>
              <w:rPr>
                <w:sz w:val="22"/>
                <w:szCs w:val="22"/>
              </w:rPr>
            </w:pPr>
            <w:bookmarkStart w:id="14" w:name="审核范围"/>
            <w:r>
              <w:rPr>
                <w:sz w:val="22"/>
                <w:szCs w:val="22"/>
              </w:rPr>
              <w:t>Q：机电设备、环保设备、仪器仪表、执行机构及配件的维修（需资质许可要求的除外）</w:t>
            </w:r>
          </w:p>
          <w:p>
            <w:pPr>
              <w:snapToGrid w:val="0"/>
              <w:spacing w:line="0" w:lineRule="atLeast"/>
              <w:jc w:val="left"/>
              <w:rPr>
                <w:sz w:val="22"/>
                <w:szCs w:val="22"/>
              </w:rPr>
            </w:pPr>
            <w:r>
              <w:rPr>
                <w:sz w:val="22"/>
                <w:szCs w:val="22"/>
              </w:rPr>
              <w:t>E：机电设备、环保设备、仪器仪表、执行机构及配件的维修（需资质许可要求的除外）所涉及场所的相关环境管理活动</w:t>
            </w:r>
          </w:p>
          <w:p>
            <w:pPr>
              <w:snapToGrid w:val="0"/>
              <w:spacing w:line="0" w:lineRule="atLeast"/>
              <w:jc w:val="left"/>
              <w:rPr>
                <w:sz w:val="22"/>
                <w:szCs w:val="22"/>
              </w:rPr>
            </w:pPr>
            <w:r>
              <w:rPr>
                <w:sz w:val="22"/>
                <w:szCs w:val="22"/>
              </w:rPr>
              <w:t>O：机电设备、环保设备、仪器仪表、执行机构及配件的维修（需资质许可要求的除外）所涉及场所的相关职业健康安全管理活动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石家庄高新区天山大街585号创新科技园1号楼2单元1304室</w:t>
            </w:r>
            <w:bookmarkEnd w:id="15"/>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Cs w:val="21"/>
              </w:rPr>
              <w:t>石家庄市长安区和平东路342号时代方舟A2-2301</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Hebei Kangyu Automation Technology Co., Ltd</w:t>
            </w:r>
          </w:p>
        </w:tc>
        <w:tc>
          <w:tcPr>
            <w:tcW w:w="5013" w:type="dxa"/>
            <w:gridSpan w:val="3"/>
            <w:vMerge w:val="restart"/>
            <w:tcBorders/>
          </w:tcPr>
          <w:p>
            <w:pPr>
              <w:snapToGrid w:val="0"/>
              <w:spacing w:line="0" w:lineRule="atLeast"/>
              <w:jc w:val="left"/>
              <w:rPr>
                <w:rFonts w:hint="eastAsia"/>
                <w:sz w:val="21"/>
                <w:szCs w:val="16"/>
              </w:rPr>
            </w:pPr>
            <w:r>
              <w:rPr>
                <w:rFonts w:hint="eastAsia"/>
                <w:sz w:val="21"/>
                <w:szCs w:val="16"/>
                <w:lang w:val="en-US" w:eastAsia="zh-CN"/>
              </w:rPr>
              <w:t>Q：</w:t>
            </w:r>
            <w:r>
              <w:rPr>
                <w:rFonts w:hint="eastAsia"/>
                <w:sz w:val="21"/>
                <w:szCs w:val="16"/>
              </w:rPr>
              <w:t>Maintenance of mechanical and electrical equipment, environmental protection equipment, instruments and meters, actuators and accessories (except those requiring qualification license)</w:t>
            </w:r>
          </w:p>
          <w:p>
            <w:pPr>
              <w:snapToGrid w:val="0"/>
              <w:spacing w:line="0" w:lineRule="atLeast"/>
              <w:jc w:val="left"/>
              <w:rPr>
                <w:rFonts w:hint="eastAsia"/>
                <w:sz w:val="21"/>
                <w:szCs w:val="16"/>
              </w:rPr>
            </w:pPr>
            <w:r>
              <w:rPr>
                <w:rFonts w:hint="eastAsia"/>
                <w:sz w:val="21"/>
                <w:szCs w:val="16"/>
                <w:lang w:val="en-US" w:eastAsia="zh-CN"/>
              </w:rPr>
              <w:t>E：</w:t>
            </w:r>
            <w:r>
              <w:rPr>
                <w:rFonts w:hint="eastAsia"/>
                <w:sz w:val="21"/>
                <w:szCs w:val="16"/>
              </w:rPr>
              <w:t>Relevant environmental management activities of places involved in the maintenance of electromechanical equipment, environmental protection equipment, instruments and meters, actuators and accessories (except those requiring qualification and license requirements)</w:t>
            </w:r>
          </w:p>
          <w:p>
            <w:pPr>
              <w:snapToGrid w:val="0"/>
              <w:spacing w:line="0" w:lineRule="atLeast"/>
              <w:jc w:val="left"/>
              <w:rPr>
                <w:rFonts w:hint="eastAsia"/>
                <w:sz w:val="21"/>
                <w:szCs w:val="16"/>
              </w:rPr>
            </w:pPr>
            <w:r>
              <w:rPr>
                <w:rFonts w:hint="eastAsia"/>
                <w:sz w:val="21"/>
                <w:szCs w:val="16"/>
                <w:lang w:val="en-US" w:eastAsia="zh-CN"/>
              </w:rPr>
              <w:t>O：</w:t>
            </w:r>
            <w:r>
              <w:rPr>
                <w:rFonts w:hint="eastAsia"/>
                <w:sz w:val="21"/>
                <w:szCs w:val="16"/>
              </w:rPr>
              <w:t>Relevant occupational health and safety management activities in the places involved in the maintenance of electromechanical equipment, environmental protection equipment, instruments and meters, actuators and accessories (except those requiring qualification and license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Room 1304, unit 2, building 1, innovation and Technology Park, No. 585 Tianshan Street, high tech Zone, Shijiazhuang</w:t>
            </w:r>
          </w:p>
        </w:tc>
        <w:tc>
          <w:tcPr>
            <w:tcW w:w="5013"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sz w:val="22"/>
                <w:szCs w:val="22"/>
              </w:rPr>
              <w:t>A2-2301, times ark, No. 342, Heping East Road, Chang'an District, Shijiazhuang</w:t>
            </w:r>
          </w:p>
        </w:tc>
        <w:tc>
          <w:tcPr>
            <w:tcW w:w="5013"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459"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00" w:type="dxa"/>
          </w:tcPr>
          <w:p>
            <w:pPr>
              <w:snapToGrid w:val="0"/>
              <w:spacing w:line="0" w:lineRule="atLeast"/>
              <w:jc w:val="left"/>
              <w:rPr>
                <w:sz w:val="22"/>
                <w:szCs w:val="22"/>
              </w:rPr>
            </w:pPr>
            <w:r>
              <w:rPr>
                <w:rFonts w:hint="eastAsia"/>
                <w:sz w:val="22"/>
                <w:szCs w:val="18"/>
              </w:rPr>
              <w:t>审核组长签字</w:t>
            </w:r>
          </w:p>
        </w:tc>
        <w:tc>
          <w:tcPr>
            <w:tcW w:w="2327"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122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7</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2021-12-09T02:16:13Z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