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黑龙江华睿智慧国土科技开发股份有限公司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0139-2018-2021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0139-2018-2021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黑龙江华睿智慧国土科技开发股份有限公司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赵辉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ISC-2018-0324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2023-11-08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2021年12月06日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王玉玲 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各项目部 综合办(质量管理一组、质量管理二组）   设计部 （测量组） 供销部 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6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97.5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12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房屋使用面积测绘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27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朱凯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赵辉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  <w:bookmarkStart w:id="11" w:name="_GoBack"/>
      <w:bookmarkEnd w:id="11"/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房屋使用面积测绘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房屋使用面积测绘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房屋使用面积测绘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手持式激光测试仪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房屋使用面积测绘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房屋使用面积测绘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黑龙江测绘计量仪器检定站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6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3.6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1050" w:firstLineChars="500"/>
        <w:jc w:val="left"/>
        <w:rPr>
          <w:rFonts w:hint="default" w:ascii="宋体" w:hAnsi="宋体" w:cs="宋体"/>
          <w:kern w:val="0"/>
          <w:szCs w:val="21"/>
          <w:lang w:val="en-US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企业未对测量设备检定校准服务方《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黑龙江测绘计量仪器检定站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》进行合格供方评价不符合GB/T19022-2003条款6.4供方评价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2021年11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于2021年6月8日因经营范围变化换证，企业测量管理体系认证范围无变化，符合要求。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6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利用一天的时间</w:t>
      </w:r>
      <w:r>
        <w:rPr>
          <w:rStyle w:val="10"/>
          <w:rFonts w:hint="default" w:ascii="宋体" w:hAnsi="宋体" w:eastAsia="宋体"/>
          <w:color w:val="auto"/>
          <w:sz w:val="21"/>
          <w:szCs w:val="21"/>
          <w:lang w:eastAsia="zh-CN"/>
        </w:rPr>
        <w:t>远程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cs="宋体" w:asciiTheme="minorEastAsia" w:hAnsiTheme="minorEastAsia"/>
          <w:kern w:val="0"/>
          <w:szCs w:val="21"/>
        </w:rPr>
        <w:t>黑龙江华睿智慧国土科技开发股份有限公司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2021.12.6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314DF"/>
    <w:rsid w:val="27A17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36</TotalTime>
  <ScaleCrop>false</ScaleCrop>
  <LinksUpToDate>false</LinksUpToDate>
  <CharactersWithSpaces>2163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2021-12-06T08:18:20Z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87972DEEEB4D495E992D8A9BB54FA62A</vt:lpwstr>
  </property>
</Properties>
</file>