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9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76200</wp:posOffset>
            </wp:positionV>
            <wp:extent cx="6182360" cy="8764905"/>
            <wp:effectExtent l="0" t="0" r="2540" b="10795"/>
            <wp:wrapNone/>
            <wp:docPr id="1" name="图片 1" descr="C:/Users/hb/AppData/Local/Temp/picturecompress_2022010415513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b/AppData/Local/Temp/picturecompress_2022010415513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9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高阳县昌泰弹簧制造有限公司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-339090</wp:posOffset>
                  </wp:positionV>
                  <wp:extent cx="3968750" cy="772795"/>
                  <wp:effectExtent l="0" t="0" r="6350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关键过程：拉拔过程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特殊过程：淬火过程。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操作过程制定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《拉丝操作规程》、《淬火工作要求》、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《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技术协议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》，提供《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过程控制记录》对特殊工序进行过程监控，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加工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固体废弃物（含危废）、噪声、潜在火灾和爆炸、废气。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机械伤害、意外伤害、触电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</w:rPr>
              <w:t>河北省环境污染防治监督管理办法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一般工业固体废弃物贮存、处置场污染物控制标准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河北省减少污染物排放条例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机关、团体、企业、事业单位消防安全管理规定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仓库防火安全管理规则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国家经贸委关于印发劳动防护用品配备标准（试行）的通知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河北省女职工劳动保护实施办法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河北省劳动安全卫生条例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劳动保护用品管理规定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河北省消防条例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"http://www.dffy.com/faguixiazai/xzf/200405/20040505212509.htm" \t "_blank"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YB/T 5365-2006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油淬火－回火弹簧钢丝用热轧盘条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GB/T 24588-2019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不锈弹簧钢丝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B65C6B"/>
    <w:rsid w:val="16D673DF"/>
    <w:rsid w:val="17721366"/>
    <w:rsid w:val="239B4BAB"/>
    <w:rsid w:val="2BA2190D"/>
    <w:rsid w:val="3CE83779"/>
    <w:rsid w:val="4BAA4394"/>
    <w:rsid w:val="624C78E1"/>
    <w:rsid w:val="67A57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2022-01-04T07:51:40Z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888670F7A5A04B08AE37EC36FBE3DE8F</vt:lpwstr>
  </property>
  <property fmtid="{D5CDD505-2E9C-101B-9397-08002B2CF9AE}" pid="3" name="KSOProductBuildVer">
    <vt:lpwstr>2052-11.1.0.11194</vt:lpwstr>
  </property>
</Properties>
</file>