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1272-2021-QEO</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高阳县昌泰弹簧制造有限公司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9"/>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2021年12月10日 上午至2021年12月10日 下午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Add1"/>
            <w:bookmarkStart w:id="11" w:name="QJ勾选"/>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sym w:font="Wingdings 2" w:char="0052"/>
            </w:r>
            <w:r>
              <w:rPr>
                <w:rFonts w:hint="eastAsia" w:ascii="宋体" w:hAnsi="宋体"/>
                <w:b/>
                <w:color w:val="000000"/>
                <w:szCs w:val="21"/>
              </w:rPr>
              <w:t>顾客要求</w:t>
            </w:r>
          </w:p>
          <w:p>
            <w:pPr>
              <w:rPr>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适用于受审核方的法律法规及其他要求</w:t>
            </w:r>
            <w:r>
              <w:rPr>
                <w:rFonts w:hint="eastAsia" w:ascii="宋体" w:hAnsi="宋体"/>
                <w:b/>
                <w:color w:val="000000"/>
                <w:szCs w:val="21"/>
                <w:lang w:val="de-DE"/>
              </w:rPr>
              <w:sym w:font="Wingdings 2" w:char="0052"/>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t>□单一体系审核□结合审核</w:t>
            </w:r>
            <w:r>
              <w:rPr>
                <w:rFonts w:hint="eastAsia" w:ascii="宋体"/>
                <w:b/>
                <w:szCs w:val="21"/>
              </w:rPr>
              <w:sym w:font="Wingdings 2" w:char="0052"/>
            </w:r>
            <w:r>
              <w:rPr>
                <w:rFonts w:hint="eastAsia" w:ascii="宋体"/>
                <w:b/>
                <w:szCs w:val="21"/>
              </w:rPr>
              <w:t>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sym w:font="Wingdings 2" w:char="0052"/>
            </w:r>
            <w:r>
              <w:rPr>
                <w:rFonts w:hint="eastAsia" w:ascii="宋体"/>
                <w:b/>
                <w:color w:val="000000"/>
                <w:szCs w:val="21"/>
              </w:rPr>
              <w:t>现场审核□远程审核□非现场审核（仅限一阶段）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t>□网络□智能手机□手持设备□笔记本电脑□台式电脑□无人机□摄像机□可穿戴技术□人工智能□其他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9"/>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强兴</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2020-N1QMS-1263375</w:t>
            </w:r>
          </w:p>
          <w:p>
            <w:pPr>
              <w:spacing w:line="240" w:lineRule="exact"/>
              <w:jc w:val="center"/>
              <w:rPr>
                <w:b/>
                <w:color w:val="000000"/>
                <w:szCs w:val="21"/>
              </w:rPr>
            </w:pPr>
            <w:r>
              <w:rPr>
                <w:b/>
                <w:color w:val="000000"/>
                <w:szCs w:val="21"/>
              </w:rPr>
              <w:t>2020-N1EMS-1263375</w:t>
            </w:r>
          </w:p>
          <w:p>
            <w:pPr>
              <w:spacing w:line="240" w:lineRule="exact"/>
              <w:jc w:val="center"/>
              <w:rPr>
                <w:b/>
                <w:color w:val="000000"/>
                <w:szCs w:val="21"/>
              </w:rPr>
            </w:pPr>
            <w:r>
              <w:rPr>
                <w:b/>
                <w:color w:val="000000"/>
                <w:szCs w:val="21"/>
              </w:rPr>
              <w:t>2021-N1OHSMS-1263375</w:t>
            </w:r>
          </w:p>
        </w:tc>
        <w:tc>
          <w:tcPr>
            <w:tcW w:w="1140" w:type="dxa"/>
            <w:vAlign w:val="center"/>
          </w:tcPr>
          <w:p>
            <w:pPr>
              <w:spacing w:line="240" w:lineRule="exact"/>
              <w:jc w:val="center"/>
              <w:rPr>
                <w:b/>
                <w:color w:val="000000"/>
                <w:szCs w:val="21"/>
              </w:rPr>
            </w:pPr>
            <w:r>
              <w:rPr>
                <w:b/>
                <w:color w:val="000000"/>
                <w:szCs w:val="21"/>
              </w:rPr>
              <w:t>Q:17.12.03</w:t>
            </w:r>
          </w:p>
          <w:p>
            <w:pPr>
              <w:spacing w:line="240" w:lineRule="exact"/>
              <w:jc w:val="center"/>
              <w:rPr>
                <w:b/>
                <w:color w:val="000000"/>
                <w:szCs w:val="21"/>
              </w:rPr>
            </w:pPr>
            <w:r>
              <w:rPr>
                <w:b/>
                <w:color w:val="000000"/>
                <w:szCs w:val="21"/>
              </w:rPr>
              <w:t>E:17.12.03</w:t>
            </w:r>
          </w:p>
          <w:p>
            <w:pPr>
              <w:spacing w:line="240" w:lineRule="exact"/>
              <w:jc w:val="center"/>
              <w:rPr>
                <w:b/>
                <w:color w:val="000000"/>
                <w:szCs w:val="21"/>
              </w:rPr>
            </w:pPr>
            <w:r>
              <w:rPr>
                <w:b/>
                <w:color w:val="000000"/>
                <w:szCs w:val="21"/>
              </w:rPr>
              <w:t>O:17.12.03</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周文</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2020-N1QMS-2226478</w:t>
            </w:r>
          </w:p>
          <w:p>
            <w:pPr>
              <w:spacing w:line="240" w:lineRule="exact"/>
              <w:jc w:val="center"/>
              <w:rPr>
                <w:b/>
                <w:color w:val="000000"/>
                <w:szCs w:val="21"/>
              </w:rPr>
            </w:pPr>
            <w:r>
              <w:rPr>
                <w:b/>
                <w:color w:val="000000"/>
                <w:szCs w:val="21"/>
              </w:rPr>
              <w:t>2020-N1EMS-2226478</w:t>
            </w:r>
          </w:p>
          <w:p>
            <w:pPr>
              <w:spacing w:line="240" w:lineRule="exact"/>
              <w:jc w:val="center"/>
              <w:rPr>
                <w:b/>
                <w:color w:val="000000"/>
                <w:szCs w:val="21"/>
              </w:rPr>
            </w:pPr>
            <w:r>
              <w:rPr>
                <w:b/>
                <w:color w:val="000000"/>
                <w:szCs w:val="21"/>
              </w:rPr>
              <w:t>2020-N1OHSMS-2226478</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喻荣秋</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2021-N1QMS-1274747</w:t>
            </w:r>
          </w:p>
          <w:p>
            <w:pPr>
              <w:spacing w:line="240" w:lineRule="exact"/>
              <w:jc w:val="center"/>
              <w:rPr>
                <w:b/>
                <w:color w:val="000000"/>
                <w:szCs w:val="21"/>
              </w:rPr>
            </w:pPr>
            <w:r>
              <w:rPr>
                <w:b/>
                <w:color w:val="000000"/>
                <w:szCs w:val="21"/>
              </w:rPr>
              <w:t>2021-N1EMS-1274747</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2228"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9"/>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高阳县昌泰弹簧制造有限公司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高阳县庞口镇陈庄村东</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071504</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生产地址"/>
            <w:bookmarkStart w:id="28" w:name="办公地址"/>
            <w:r>
              <w:rPr>
                <w:rFonts w:ascii="宋体"/>
                <w:b/>
                <w:color w:val="000000"/>
                <w:szCs w:val="21"/>
              </w:rPr>
              <w:t>高阳县庞口镇陈庄村东</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071504</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孙立民</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31" w:name="联系人手机"/>
            <w:r>
              <w:rPr>
                <w:rFonts w:ascii="宋体"/>
                <w:b/>
                <w:color w:val="000000"/>
                <w:szCs w:val="21"/>
              </w:rPr>
              <w:t>15076250319</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杨国胜</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4" w:name="管理者代表"/>
            <w:r>
              <w:rPr>
                <w:rFonts w:ascii="宋体"/>
                <w:b/>
                <w:color w:val="000000"/>
                <w:szCs w:val="21"/>
              </w:rPr>
              <w:t>李利平</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r>
              <w:t>弹簧钢丝的生产</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p>
            <w:pPr>
              <w:tabs>
                <w:tab w:val="left" w:pos="0"/>
              </w:tabs>
              <w:rPr>
                <w:rFonts w:ascii="宋体" w:hAnsi="宋体"/>
                <w:color w:val="000000"/>
                <w:szCs w:val="21"/>
              </w:rPr>
            </w:pPr>
          </w:p>
        </w:tc>
        <w:tc>
          <w:tcPr>
            <w:tcW w:w="8058" w:type="dxa"/>
            <w:gridSpan w:val="7"/>
            <w:shd w:val="clear" w:color="auto" w:fill="auto"/>
          </w:tcPr>
          <w:p>
            <w:pPr>
              <w:tabs>
                <w:tab w:val="left" w:pos="360"/>
              </w:tabs>
              <w:ind w:left="360" w:hanging="360"/>
              <w:rPr>
                <w:rFonts w:ascii="宋体"/>
                <w:color w:val="000000"/>
                <w:szCs w:val="21"/>
              </w:rPr>
            </w:pPr>
            <w:r>
              <w:drawing>
                <wp:anchor distT="0" distB="0" distL="114300" distR="114300" simplePos="0" relativeHeight="251661312" behindDoc="0" locked="0" layoutInCell="1" allowOverlap="1">
                  <wp:simplePos x="0" y="0"/>
                  <wp:positionH relativeFrom="column">
                    <wp:posOffset>184785</wp:posOffset>
                  </wp:positionH>
                  <wp:positionV relativeFrom="paragraph">
                    <wp:posOffset>76835</wp:posOffset>
                  </wp:positionV>
                  <wp:extent cx="3968750" cy="744855"/>
                  <wp:effectExtent l="0" t="0" r="635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968750" cy="7448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r>
              <w:t>弹簧钢丝的生产</w:t>
            </w:r>
          </w:p>
        </w:tc>
        <w:tc>
          <w:tcPr>
            <w:tcW w:w="2006" w:type="dxa"/>
            <w:gridSpan w:val="3"/>
            <w:vAlign w:val="center"/>
          </w:tcPr>
          <w:p>
            <w:pPr>
              <w:rPr>
                <w:rFonts w:ascii="宋体" w:hAnsi="宋体"/>
                <w:b/>
                <w:color w:val="000000"/>
                <w:szCs w:val="21"/>
              </w:rPr>
            </w:pPr>
            <w:r>
              <w:t>Q：17.12.03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rPr>
                <w:rFonts w:ascii="宋体" w:hAnsi="宋体"/>
                <w:b/>
                <w:color w:val="000000"/>
                <w:szCs w:val="21"/>
              </w:rPr>
            </w:pPr>
            <w:r>
              <w:t>弹簧钢丝的生产所涉及场所的相关环境管理活动</w:t>
            </w:r>
          </w:p>
        </w:tc>
        <w:tc>
          <w:tcPr>
            <w:tcW w:w="2006" w:type="dxa"/>
            <w:gridSpan w:val="3"/>
            <w:vAlign w:val="center"/>
          </w:tcPr>
          <w:p>
            <w:pPr>
              <w:rPr>
                <w:rFonts w:ascii="宋体" w:hAnsi="宋体"/>
                <w:b/>
                <w:color w:val="000000"/>
                <w:szCs w:val="21"/>
              </w:rPr>
            </w:pPr>
            <w:r>
              <w:t>E：17.12.03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r>
              <w:t>弹簧钢丝的生产所涉及场所的相关职业健康安全管理活动</w:t>
            </w:r>
          </w:p>
        </w:tc>
        <w:tc>
          <w:tcPr>
            <w:tcW w:w="2006" w:type="dxa"/>
            <w:gridSpan w:val="3"/>
            <w:vAlign w:val="center"/>
          </w:tcPr>
          <w:p>
            <w:pPr>
              <w:spacing w:line="400" w:lineRule="exact"/>
              <w:rPr>
                <w:rFonts w:ascii="宋体" w:hAnsi="宋体"/>
                <w:b/>
                <w:color w:val="000000"/>
                <w:szCs w:val="21"/>
              </w:rPr>
            </w:pPr>
            <w:r>
              <w:t>O：17.12.03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rPr>
              <w:t>□</w:t>
            </w:r>
            <w:r>
              <w:rPr>
                <w:rFonts w:hint="eastAsia" w:ascii="宋体" w:hAnsi="宋体"/>
                <w:color w:val="000000"/>
                <w:szCs w:val="21"/>
              </w:rPr>
              <w:t>单班次生产</w:t>
            </w:r>
            <w:r>
              <w:rPr>
                <w:rFonts w:hint="eastAsia" w:ascii="宋体" w:hAnsi="宋体"/>
                <w:color w:val="000000"/>
                <w:spacing w:val="-10"/>
                <w:szCs w:val="21"/>
              </w:rPr>
              <w:sym w:font="Wingdings 2" w:char="0052"/>
            </w:r>
            <w:r>
              <w:rPr>
                <w:rFonts w:hint="eastAsia" w:ascii="宋体" w:hAnsi="宋体"/>
                <w:color w:val="000000"/>
                <w:szCs w:val="21"/>
              </w:rPr>
              <w:t>多班次生产</w:t>
            </w:r>
          </w:p>
        </w:tc>
      </w:tr>
    </w:tbl>
    <w:p>
      <w:pPr>
        <w:spacing w:before="40" w:after="40"/>
        <w:rPr>
          <w:rFonts w:eastAsia="黑体"/>
          <w:szCs w:val="21"/>
          <w:lang w:eastAsia="ja-JP"/>
        </w:rPr>
      </w:pPr>
    </w:p>
    <w:p>
      <w:pPr>
        <w:pStyle w:val="21"/>
        <w:rPr>
          <w:rFonts w:eastAsia="黑体"/>
          <w:sz w:val="21"/>
          <w:szCs w:val="21"/>
          <w:lang w:eastAsia="zh-CN"/>
        </w:rPr>
      </w:pPr>
    </w:p>
    <w:p>
      <w:pPr>
        <w:pStyle w:val="21"/>
        <w:rPr>
          <w:rFonts w:eastAsia="黑体" w:cs="Arial"/>
          <w:sz w:val="21"/>
          <w:szCs w:val="21"/>
          <w:lang w:val="en-US" w:eastAsia="ja-JP"/>
        </w:rPr>
      </w:pPr>
      <w:r>
        <w:rPr>
          <w:rFonts w:eastAsia="黑体"/>
          <w:sz w:val="21"/>
          <w:szCs w:val="21"/>
          <w:lang w:eastAsia="zh-CN"/>
        </w:rPr>
        <w:t>认证覆盖以下各场所/场地及其对应的范围:</w:t>
      </w:r>
    </w:p>
    <w:tbl>
      <w:tblPr>
        <w:tblStyle w:val="9"/>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2"/>
              <w:spacing w:before="0" w:after="0"/>
              <w:rPr>
                <w:rFonts w:eastAsia="黑体" w:cs="Arial"/>
                <w:sz w:val="21"/>
                <w:szCs w:val="21"/>
                <w:lang w:eastAsia="zh-CN"/>
              </w:rPr>
            </w:pPr>
            <w:r>
              <w:rPr>
                <w:rFonts w:eastAsia="黑体" w:cs="Arial"/>
                <w:sz w:val="21"/>
                <w:szCs w:val="21"/>
                <w:lang w:eastAsia="zh-CN"/>
              </w:rPr>
              <w:t>场所编号</w:t>
            </w:r>
          </w:p>
          <w:p>
            <w:pPr>
              <w:pStyle w:val="22"/>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2"/>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2"/>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eastAsia="黑体"/>
                <w:szCs w:val="21"/>
                <w:lang w:val="de-DE" w:eastAsia="ja-JP"/>
              </w:rPr>
            </w:pPr>
            <w:r>
              <w:rPr>
                <w:sz w:val="21"/>
                <w:szCs w:val="21"/>
              </w:rPr>
              <w:t>高阳县昌泰弹簧制造有限公司</w:t>
            </w:r>
            <w:r>
              <w:rPr>
                <w:rFonts w:hint="eastAsia"/>
                <w:sz w:val="21"/>
                <w:szCs w:val="21"/>
                <w:lang w:val="en-US" w:eastAsia="zh-CN"/>
              </w:rPr>
              <w:t>/</w:t>
            </w:r>
            <w:r>
              <w:rPr>
                <w:sz w:val="21"/>
                <w:szCs w:val="21"/>
              </w:rPr>
              <w:t>高阳县庞口镇陈庄村东</w:t>
            </w:r>
          </w:p>
        </w:tc>
        <w:tc>
          <w:tcPr>
            <w:tcW w:w="2267" w:type="dxa"/>
          </w:tcPr>
          <w:p>
            <w:pPr>
              <w:spacing w:before="40" w:after="40"/>
              <w:rPr>
                <w:rFonts w:eastAsia="黑体"/>
                <w:szCs w:val="21"/>
                <w:lang w:val="de-DE" w:eastAsia="ja-JP"/>
              </w:rPr>
            </w:pPr>
            <w:r>
              <w:rPr>
                <w:sz w:val="21"/>
                <w:szCs w:val="21"/>
              </w:rPr>
              <w:t>高阳县庞口镇陈庄村东</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40</w:t>
            </w:r>
          </w:p>
        </w:tc>
        <w:tc>
          <w:tcPr>
            <w:tcW w:w="2803" w:type="dxa"/>
            <w:vAlign w:val="center"/>
          </w:tcPr>
          <w:p>
            <w:bookmarkStart w:id="35" w:name="审核范围"/>
            <w:r>
              <w:t>Q：弹簧钢丝的生产</w:t>
            </w:r>
          </w:p>
          <w:p>
            <w:r>
              <w:t>E：弹簧钢丝的生产所涉及场所的相关环境管理活动</w:t>
            </w:r>
          </w:p>
          <w:p>
            <w:pPr>
              <w:pStyle w:val="20"/>
              <w:rPr>
                <w:rFonts w:eastAsia="黑体" w:cs="Arial"/>
                <w:sz w:val="21"/>
                <w:szCs w:val="21"/>
                <w:lang w:val="en-US" w:eastAsia="ja-JP"/>
              </w:rPr>
            </w:pPr>
            <w:r>
              <w:t>O：弹簧钢丝的生产所涉及场所的相关职业健康安全管理活动</w:t>
            </w:r>
            <w:bookmarkEnd w:id="35"/>
          </w:p>
        </w:tc>
        <w:tc>
          <w:tcPr>
            <w:tcW w:w="669" w:type="dxa"/>
            <w:vAlign w:val="center"/>
          </w:tcPr>
          <w:p>
            <w:pPr>
              <w:spacing w:before="40" w:after="40"/>
              <w:rPr>
                <w:rFonts w:hint="eastAsia" w:eastAsia="宋体"/>
                <w:szCs w:val="21"/>
                <w:lang w:val="en-US" w:eastAsia="zh-CN"/>
              </w:rPr>
            </w:pPr>
            <w:r>
              <w:rPr>
                <w:rFonts w:hint="eastAsia" w:ascii="宋体" w:hAnsi="宋体"/>
                <w:b/>
                <w:sz w:val="21"/>
                <w:szCs w:val="21"/>
              </w:rPr>
              <w:t>GB/T19001-2016/GB/T24001-2016</w:t>
            </w:r>
            <w:r>
              <w:rPr>
                <w:rFonts w:hint="eastAsia" w:ascii="宋体" w:hAnsi="宋体"/>
                <w:b/>
                <w:sz w:val="21"/>
                <w:szCs w:val="21"/>
                <w:lang w:val="en-US" w:eastAsia="zh-CN"/>
              </w:rPr>
              <w:t>/</w:t>
            </w:r>
            <w:r>
              <w:rPr>
                <w:rFonts w:hint="eastAsia" w:ascii="宋体" w:hAnsi="宋体"/>
                <w:b/>
                <w:sz w:val="21"/>
                <w:szCs w:val="21"/>
              </w:rPr>
              <w:t>GB/T 45001-2020</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eastAsia="黑体"/>
                    <w:szCs w:val="21"/>
                  </w:rPr>
                  <w:sym w:font="Wingdings 2" w:char="0052"/>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9"/>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2"/>
              <w:jc w:val="left"/>
              <w:rPr>
                <w:rFonts w:ascii="宋体"/>
                <w:color w:val="000000"/>
                <w:sz w:val="21"/>
                <w:szCs w:val="21"/>
                <w:lang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2"/>
              <w:jc w:val="left"/>
              <w:rPr>
                <w:rFonts w:ascii="宋体"/>
                <w:color w:val="000000"/>
                <w:sz w:val="21"/>
                <w:szCs w:val="21"/>
                <w:lang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2"/>
              <w:jc w:val="left"/>
              <w:rPr>
                <w:rFonts w:ascii="宋体" w:hAnsi="宋体"/>
                <w:color w:val="000000"/>
                <w:sz w:val="21"/>
                <w:szCs w:val="21"/>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color w:val="000000"/>
                <w:sz w:val="21"/>
                <w:szCs w:val="21"/>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2"/>
              <w:jc w:val="left"/>
              <w:rPr>
                <w:rFonts w:ascii="宋体"/>
                <w:color w:val="000000"/>
                <w:sz w:val="21"/>
                <w:szCs w:val="21"/>
                <w:lang w:val="en-US"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2"/>
              <w:jc w:val="left"/>
              <w:rPr>
                <w:rFonts w:ascii="宋体"/>
                <w:color w:val="000000"/>
                <w:sz w:val="21"/>
                <w:szCs w:val="21"/>
                <w:lang w:val="en-US" w:eastAsia="zh-CN"/>
              </w:rPr>
            </w:pPr>
            <w:r>
              <w:rPr>
                <w:rFonts w:hint="eastAsia" w:ascii="Wingdings" w:hAnsi="Wingdings"/>
                <w:color w:val="000000"/>
                <w:sz w:val="21"/>
                <w:szCs w:val="21"/>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z w:val="21"/>
                <w:szCs w:val="21"/>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hint="eastAsia" w:ascii="宋体" w:hAnsi="宋体"/>
          <w:b/>
          <w:color w:val="000000"/>
          <w:szCs w:val="21"/>
        </w:rPr>
      </w:pPr>
    </w:p>
    <w:p>
      <w:pPr>
        <w:spacing w:before="156" w:beforeLines="50" w:after="156" w:afterLines="50" w:line="360" w:lineRule="exact"/>
        <w:rPr>
          <w:rFonts w:hint="eastAsia" w:ascii="宋体" w:hAnsi="宋体"/>
          <w:b/>
          <w:color w:val="000000"/>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9"/>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sym w:font="Wingdings 2" w:char="00A3"/>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6</w:t>
            </w:r>
            <w:r>
              <w:rPr>
                <w:rFonts w:hint="eastAsia" w:ascii="宋体" w:hAnsi="宋体"/>
                <w:b/>
                <w:color w:val="000000"/>
                <w:szCs w:val="21"/>
                <w:u w:val="single"/>
              </w:rPr>
              <w:t>月</w:t>
            </w:r>
            <w:r>
              <w:rPr>
                <w:rFonts w:hint="eastAsia" w:ascii="宋体" w:hAnsi="宋体"/>
                <w:b/>
                <w:color w:val="000000"/>
                <w:szCs w:val="21"/>
                <w:u w:val="single"/>
                <w:lang w:val="en-US" w:eastAsia="zh-CN"/>
              </w:rPr>
              <w:t>25</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u w:val="single"/>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11</w:t>
            </w:r>
            <w:r>
              <w:rPr>
                <w:rFonts w:hint="eastAsia" w:ascii="宋体" w:hAnsi="宋体"/>
                <w:b/>
                <w:color w:val="000000"/>
                <w:szCs w:val="21"/>
                <w:u w:val="single"/>
              </w:rPr>
              <w:t>月</w:t>
            </w:r>
            <w:r>
              <w:rPr>
                <w:rFonts w:hint="eastAsia" w:ascii="宋体" w:hAnsi="宋体"/>
                <w:b/>
                <w:color w:val="000000"/>
                <w:szCs w:val="21"/>
                <w:u w:val="single"/>
                <w:lang w:val="en-US" w:eastAsia="zh-CN"/>
              </w:rPr>
              <w:t>10</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2"/>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w:t>
            </w:r>
            <w:r>
              <w:rPr>
                <w:rFonts w:hint="eastAsia" w:ascii="宋体" w:hAnsi="宋体" w:eastAsia="宋体"/>
                <w:color w:val="000000"/>
                <w:sz w:val="21"/>
                <w:szCs w:val="21"/>
                <w:u w:val="single"/>
                <w:lang w:val="en-US" w:eastAsia="zh-CN"/>
              </w:rPr>
              <w:t>2021年11月25日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9"/>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72"/>
        <w:gridCol w:w="4191"/>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763" w:type="dxa"/>
            <w:gridSpan w:val="4"/>
            <w:shd w:val="clear" w:color="auto" w:fill="F3F3F3"/>
            <w:vAlign w:val="center"/>
          </w:tcPr>
          <w:p>
            <w:pPr>
              <w:spacing w:before="40" w:after="40"/>
              <w:rPr>
                <w:rFonts w:eastAsia="黑体"/>
                <w:szCs w:val="21"/>
              </w:rPr>
            </w:pPr>
            <w:r>
              <w:rPr>
                <w:rFonts w:eastAsia="黑体"/>
                <w:b/>
                <w:szCs w:val="21"/>
              </w:rPr>
              <w:t>ISO 9001:2015认证的基本条款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63"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有</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872"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zCs w:val="21"/>
                <w:lang w:val="en-US" w:eastAsia="zh-CN"/>
              </w:rPr>
            </w:pPr>
            <w:r>
              <w:rPr>
                <w:rFonts w:hint="eastAsia" w:ascii="宋体"/>
                <w:color w:val="000000"/>
                <w:szCs w:val="21"/>
                <w:lang w:val="en-US" w:eastAsia="zh-CN"/>
              </w:rPr>
              <w:t>冷拔</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191" w:type="dxa"/>
            <w:shd w:val="clear" w:color="auto" w:fill="DBEEF3" w:themeFill="accent5" w:themeFillTint="32"/>
          </w:tcPr>
          <w:p>
            <w:pPr>
              <w:rPr>
                <w:rFonts w:ascii="宋体"/>
                <w:color w:val="000000"/>
                <w:spacing w:val="-10"/>
                <w:szCs w:val="21"/>
              </w:rPr>
            </w:pPr>
            <w:r>
              <w:rPr>
                <w:rFonts w:hint="eastAsia" w:ascii="Times New Roman" w:hAnsi="Times New Roman" w:eastAsia="宋体" w:cs="Times New Roman"/>
                <w:b w:val="0"/>
                <w:bCs/>
                <w:spacing w:val="0"/>
                <w:kern w:val="2"/>
                <w:sz w:val="20"/>
                <w:lang w:val="en-US" w:eastAsia="zh-CN" w:bidi="ar-SA"/>
              </w:rPr>
              <w:t>淬火</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pacing w:val="-10"/>
                <w:szCs w:val="21"/>
                <w:lang w:val="en-US" w:eastAsia="zh-CN"/>
              </w:rPr>
            </w:pPr>
            <w:r>
              <w:rPr>
                <w:rFonts w:hint="eastAsia" w:ascii="宋体"/>
                <w:color w:val="000000"/>
                <w:spacing w:val="-10"/>
                <w:szCs w:val="21"/>
                <w:lang w:val="en-US"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是否按法规要求检测和备案要且完好运行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191" w:type="dxa"/>
            <w:shd w:val="clear" w:color="auto" w:fill="DBEEF3" w:themeFill="accent5" w:themeFillTint="32"/>
          </w:tcPr>
          <w:p>
            <w:pPr>
              <w:rPr>
                <w:rFonts w:ascii="宋体"/>
                <w:color w:val="000000"/>
                <w:szCs w:val="21"/>
              </w:rPr>
            </w:pPr>
            <w:r>
              <w:rPr>
                <w:rFonts w:hint="eastAsia" w:ascii="宋体"/>
                <w:color w:val="000000"/>
                <w:szCs w:val="21"/>
              </w:rPr>
              <w:t>是否满足产品检测的需要</w:t>
            </w:r>
          </w:p>
        </w:tc>
        <w:tc>
          <w:tcPr>
            <w:tcW w:w="1063" w:type="dxa"/>
            <w:shd w:val="clear" w:color="auto" w:fill="DBEEF3" w:themeFill="accent5" w:themeFillTint="32"/>
          </w:tcPr>
          <w:p>
            <w:pPr>
              <w:rPr>
                <w:rFonts w:ascii="宋体"/>
                <w:color w:val="000000"/>
                <w:szCs w:val="21"/>
              </w:rPr>
            </w:pPr>
            <w:r>
              <w:rPr>
                <w:rFonts w:hint="eastAsia" w:ascii="宋体"/>
                <w:color w:val="000000"/>
                <w:szCs w:val="21"/>
              </w:rPr>
              <w:sym w:font="Wingdings 2" w:char="0052"/>
            </w:r>
            <w:r>
              <w:rPr>
                <w:rFonts w:hint="eastAsia" w:ascii="宋体"/>
                <w:color w:val="000000"/>
                <w:szCs w:val="21"/>
              </w:rPr>
              <w:t>是</w:t>
            </w:r>
          </w:p>
        </w:tc>
        <w:tc>
          <w:tcPr>
            <w:tcW w:w="1637"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生产/服务质量控制情况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产品技术标准</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正确</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技术要求（合同）</w:t>
            </w:r>
          </w:p>
        </w:tc>
        <w:tc>
          <w:tcPr>
            <w:tcW w:w="1063"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hAnsi="宋体"/>
                <w:color w:val="000000"/>
                <w:spacing w:val="-10"/>
                <w:szCs w:val="21"/>
              </w:rPr>
            </w:pPr>
            <w:r>
              <w:rPr>
                <w:rFonts w:hint="eastAsia" w:ascii="宋体"/>
                <w:color w:val="000000"/>
                <w:szCs w:val="21"/>
              </w:rPr>
              <w:t>是否需要型式试验</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报告</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是否受到行政主管部门的处罚</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ind w:left="168" w:leftChars="80"/>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是否因质量问题受到媒体的曝光</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是否发生了重大质量事故/召回</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rFonts w:ascii="宋体" w:hAnsi="宋体"/>
                <w:color w:val="000000"/>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是否有重大顾客投诉</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6891"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t>□</w:t>
            </w:r>
            <w:r>
              <w:rPr>
                <w:rFonts w:hint="eastAsia" w:ascii="宋体" w:hAnsi="宋体"/>
                <w:b/>
                <w:color w:val="000000"/>
                <w:sz w:val="20"/>
                <w:szCs w:val="20"/>
              </w:rPr>
              <w:t>设计、</w:t>
            </w:r>
            <w:r>
              <w:rPr>
                <w:rFonts w:hint="eastAsia" w:ascii="宋体" w:hAnsi="宋体"/>
                <w:color w:val="000000"/>
                <w:spacing w:val="-10"/>
                <w:szCs w:val="21"/>
              </w:rPr>
              <w:sym w:font="Wingdings 2" w:char="0052"/>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宋体" w:hAnsi="宋体"/>
                <w:color w:val="000000"/>
                <w:spacing w:val="-10"/>
                <w:szCs w:val="21"/>
              </w:rPr>
              <w:t>□</w:t>
            </w:r>
            <w:r>
              <w:rPr>
                <w:rFonts w:hint="eastAsia" w:ascii="宋体" w:hAnsi="宋体"/>
                <w:b/>
                <w:color w:val="000000"/>
                <w:sz w:val="20"/>
                <w:szCs w:val="20"/>
              </w:rPr>
              <w:t>检验、</w:t>
            </w:r>
            <w:r>
              <w:rPr>
                <w:rFonts w:hint="eastAsia" w:ascii="宋体" w:hAnsi="宋体"/>
                <w:color w:val="000000"/>
                <w:spacing w:val="-10"/>
                <w:szCs w:val="21"/>
              </w:rPr>
              <w:sym w:font="Wingdings 2" w:char="0052"/>
            </w:r>
            <w:r>
              <w:rPr>
                <w:rFonts w:hint="eastAsia" w:ascii="宋体" w:hAnsi="宋体"/>
                <w:b/>
                <w:color w:val="000000"/>
                <w:sz w:val="20"/>
                <w:szCs w:val="20"/>
              </w:rPr>
              <w:t>采购过程</w:t>
            </w:r>
            <w:r>
              <w:rPr>
                <w:rFonts w:hint="eastAsia" w:ascii="宋体" w:hAnsi="宋体"/>
                <w:color w:val="000000"/>
                <w:spacing w:val="-10"/>
                <w:szCs w:val="21"/>
              </w:rPr>
              <w:t>□</w:t>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宋体" w:hAnsi="宋体"/>
                <w:color w:val="000000"/>
                <w:spacing w:val="-10"/>
                <w:szCs w:val="21"/>
              </w:rPr>
              <w:t>□</w:t>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line="320" w:lineRule="exact"/>
        <w:ind w:left="260" w:leftChars="124"/>
        <w:rPr>
          <w:rFonts w:ascii="宋体" w:hAnsi="宋体"/>
          <w:b/>
          <w:color w:val="000000"/>
          <w:szCs w:val="21"/>
        </w:rPr>
      </w:pPr>
    </w:p>
    <w:tbl>
      <w:tblPr>
        <w:tblStyle w:val="9"/>
        <w:tblW w:w="977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8"/>
        <w:gridCol w:w="6241"/>
        <w:gridCol w:w="9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72" w:type="dxa"/>
            <w:gridSpan w:val="4"/>
            <w:shd w:val="clear" w:color="auto" w:fill="F3F3F3"/>
            <w:vAlign w:val="center"/>
          </w:tcPr>
          <w:p>
            <w:pPr>
              <w:spacing w:before="40" w:after="40"/>
              <w:rPr>
                <w:rFonts w:eastAsia="黑体"/>
                <w:szCs w:val="21"/>
              </w:rPr>
            </w:pPr>
            <w:r>
              <w:rPr>
                <w:rFonts w:eastAsia="黑体"/>
                <w:b/>
                <w:szCs w:val="21"/>
              </w:rPr>
              <w:t>ISO 14001:2015认证的基本条款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72" w:type="dxa"/>
            <w:gridSpan w:val="4"/>
            <w:shd w:val="clear" w:color="auto" w:fill="92D050"/>
          </w:tcPr>
          <w:p>
            <w:pPr>
              <w:rPr>
                <w:rFonts w:ascii="宋体"/>
                <w:b/>
                <w:color w:val="000000"/>
                <w:szCs w:val="21"/>
              </w:rPr>
            </w:pPr>
            <w:r>
              <w:rPr>
                <w:rFonts w:hint="eastAsia" w:ascii="宋体" w:hAnsi="宋体"/>
                <w:b/>
                <w:color w:val="000000"/>
                <w:szCs w:val="21"/>
              </w:rPr>
              <w:t>环境因素识别与评价（</w:t>
            </w:r>
            <w:r>
              <w:rPr>
                <w:rFonts w:ascii="宋体" w:hAnsi="宋体"/>
                <w:b/>
                <w:color w:val="000000"/>
                <w:szCs w:val="21"/>
              </w:rPr>
              <w:t>EMS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）是否明确了环境管理体系的覆盖范围</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）按生命周期观点环境因素识别是否充分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526"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）是否确定了重要环境因素评价的方法和准则</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）重要环境因素是否评价充分合理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）是否建立并实施了</w:t>
            </w:r>
            <w:r>
              <w:rPr>
                <w:rFonts w:hint="eastAsia" w:ascii="宋体"/>
                <w:color w:val="000000"/>
                <w:szCs w:val="21"/>
              </w:rPr>
              <w:t>重要环境因素控制措施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（6）对特种设备是否按法规要求检测和备案且完好运行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（7）环保设施是否满足合规义务要求且完好运行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是否对重要环境因素和环境绩效确定了监视和测量方法</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是否充分识别了潜在的紧急情况</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（11）</w:t>
            </w:r>
            <w:r>
              <w:rPr>
                <w:rFonts w:hint="eastAsia" w:ascii="宋体"/>
                <w:color w:val="000000"/>
                <w:szCs w:val="21"/>
              </w:rPr>
              <w:t>针对潜在的紧急情况是否建立了应急准备与响应预案</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是否发生了紧急情况并采取了有效的控制措施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（13）</w:t>
            </w:r>
            <w:r>
              <w:rPr>
                <w:rFonts w:hint="eastAsia" w:ascii="宋体"/>
                <w:color w:val="000000"/>
                <w:szCs w:val="21"/>
              </w:rPr>
              <w:t>是否对不符合进行了充分的整改并防止重复发生。</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环境管理体系认证范围内的合规性证据</w:t>
            </w: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是否按法规办理了环境影响评价登记表/报告表/报告书</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是否按法规办理了环境影响评价报告表/报告书的批复</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是否按法规办理了环境影响评价报告表/报告书的验收</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环境影响评价的结果与企业申请认证范围是否一致</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是否按法规办理了《排污许可证》</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是否提供近期环境监测报告</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1" w:type="dxa"/>
            <w:shd w:val="clear" w:color="auto" w:fill="92D050"/>
          </w:tcPr>
          <w:p>
            <w:pPr>
              <w:rPr>
                <w:rFonts w:ascii="宋体"/>
                <w:color w:val="000000"/>
                <w:szCs w:val="21"/>
              </w:rPr>
            </w:pPr>
            <w:r>
              <w:rPr>
                <w:rFonts w:hint="eastAsia" w:ascii="宋体"/>
                <w:color w:val="000000"/>
                <w:szCs w:val="21"/>
              </w:rPr>
              <w:t>是否受到环保主管部门的处罚</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是否因环保问题受到媒体的曝光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是否发生了重大</w:t>
            </w:r>
            <w:r>
              <w:rPr>
                <w:rFonts w:hint="eastAsia" w:ascii="宋体"/>
                <w:color w:val="000000"/>
                <w:szCs w:val="21"/>
              </w:rPr>
              <w:t>环境污染</w:t>
            </w:r>
            <w:r>
              <w:rPr>
                <w:rFonts w:hint="eastAsia" w:ascii="宋体" w:hAnsi="宋体"/>
                <w:color w:val="000000"/>
                <w:szCs w:val="21"/>
              </w:rPr>
              <w:t>事故</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是否有相关方重大</w:t>
            </w:r>
            <w:r>
              <w:rPr>
                <w:rFonts w:hint="eastAsia" w:ascii="宋体"/>
                <w:color w:val="000000"/>
                <w:szCs w:val="21"/>
              </w:rPr>
              <w:t>环境方面的</w:t>
            </w:r>
            <w:r>
              <w:rPr>
                <w:rFonts w:hint="eastAsia" w:ascii="宋体" w:hAnsi="宋体"/>
                <w:color w:val="000000"/>
                <w:szCs w:val="21"/>
              </w:rPr>
              <w:t>投诉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shd w:val="clear" w:color="auto" w:fill="92D050"/>
          </w:tcPr>
          <w:p>
            <w:pPr>
              <w:rPr>
                <w:rFonts w:ascii="宋体"/>
                <w:color w:val="000000"/>
                <w:spacing w:val="-10"/>
                <w:szCs w:val="21"/>
              </w:rPr>
            </w:pPr>
            <w:r>
              <w:rPr>
                <w:rFonts w:hint="eastAsia" w:ascii="宋体"/>
                <w:color w:val="000000"/>
                <w:spacing w:val="-10"/>
                <w:szCs w:val="21"/>
              </w:rPr>
              <w:t>环境管理体系重点关注</w:t>
            </w:r>
          </w:p>
          <w:p>
            <w:pPr>
              <w:rPr>
                <w:rFonts w:ascii="宋体"/>
                <w:color w:val="000000"/>
                <w:spacing w:val="-10"/>
                <w:szCs w:val="21"/>
              </w:rPr>
            </w:pPr>
          </w:p>
        </w:tc>
        <w:tc>
          <w:tcPr>
            <w:tcW w:w="8684" w:type="dxa"/>
            <w:gridSpan w:val="3"/>
            <w:shd w:val="clear" w:color="auto" w:fill="92D05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环境主管部门、</w:t>
            </w:r>
            <w:r>
              <w:rPr>
                <w:rFonts w:hint="eastAsia" w:ascii="宋体"/>
                <w:color w:val="000000"/>
                <w:spacing w:val="-10"/>
                <w:szCs w:val="21"/>
              </w:rPr>
              <w:sym w:font="Wingdings 2" w:char="0052"/>
            </w:r>
            <w:r>
              <w:rPr>
                <w:rFonts w:hint="eastAsia" w:ascii="宋体"/>
                <w:color w:val="000000"/>
                <w:spacing w:val="-10"/>
                <w:szCs w:val="21"/>
              </w:rPr>
              <w:t>动力装置场所、□危险化学品仓库、□污染物治疗设施、</w:t>
            </w:r>
            <w:r>
              <w:rPr>
                <w:rFonts w:hint="eastAsia" w:ascii="宋体"/>
                <w:color w:val="000000"/>
                <w:spacing w:val="-10"/>
                <w:szCs w:val="21"/>
              </w:rPr>
              <w:sym w:font="Wingdings 2" w:char="0052"/>
            </w:r>
            <w:r>
              <w:rPr>
                <w:rFonts w:hint="eastAsia" w:ascii="宋体"/>
                <w:color w:val="000000"/>
                <w:spacing w:val="-10"/>
                <w:szCs w:val="21"/>
              </w:rPr>
              <w:t>危废堆放场所，□作业现场，包括周边境况</w:t>
            </w:r>
          </w:p>
          <w:p>
            <w:pPr>
              <w:rPr>
                <w:rFonts w:ascii="宋体"/>
                <w:color w:val="000000"/>
                <w:spacing w:val="-10"/>
                <w:szCs w:val="21"/>
              </w:rPr>
            </w:pPr>
            <w:r>
              <w:rPr>
                <w:rFonts w:hint="eastAsia" w:ascii="宋体"/>
                <w:color w:val="000000"/>
                <w:spacing w:val="-10"/>
                <w:szCs w:val="21"/>
              </w:rPr>
              <w:t>其他：</w:t>
            </w:r>
          </w:p>
        </w:tc>
      </w:tr>
    </w:tbl>
    <w:p>
      <w:pPr>
        <w:spacing w:before="40" w:after="40"/>
        <w:rPr>
          <w:rFonts w:eastAsia="黑体"/>
          <w:szCs w:val="21"/>
        </w:rPr>
      </w:pPr>
    </w:p>
    <w:tbl>
      <w:tblPr>
        <w:tblStyle w:val="9"/>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335"/>
        <w:gridCol w:w="5626"/>
        <w:gridCol w:w="100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54" w:type="dxa"/>
            <w:gridSpan w:val="4"/>
            <w:shd w:val="clear" w:color="auto" w:fill="F3F3F3"/>
            <w:vAlign w:val="center"/>
          </w:tcPr>
          <w:p>
            <w:pPr>
              <w:spacing w:before="40" w:after="40"/>
              <w:rPr>
                <w:rFonts w:eastAsia="黑体"/>
                <w:szCs w:val="21"/>
              </w:rPr>
            </w:pPr>
            <w:r>
              <w:rPr>
                <w:rFonts w:hint="eastAsia" w:ascii="Wingdings" w:hAnsi="Wingdings"/>
                <w:color w:val="000000"/>
                <w:spacing w:val="-10"/>
                <w:szCs w:val="21"/>
              </w:rPr>
              <w:t>¨</w:t>
            </w:r>
            <w:r>
              <w:rPr>
                <w:rFonts w:eastAsia="黑体"/>
                <w:b/>
                <w:szCs w:val="21"/>
              </w:rPr>
              <w:t>OHSAS 18001:2007</w:t>
            </w:r>
            <w:r>
              <w:rPr>
                <w:rFonts w:hint="eastAsia" w:eastAsia="黑体"/>
                <w:b/>
                <w:szCs w:val="21"/>
              </w:rPr>
              <w:t>/</w:t>
            </w:r>
            <w:r>
              <w:rPr>
                <w:rFonts w:hint="eastAsia" w:ascii="Wingdings" w:hAnsi="Wingdings"/>
                <w:color w:val="000000"/>
                <w:spacing w:val="-10"/>
                <w:szCs w:val="21"/>
              </w:rPr>
              <w:t>¨</w:t>
            </w:r>
            <w:r>
              <w:rPr>
                <w:rFonts w:eastAsia="黑体"/>
                <w:b/>
                <w:szCs w:val="21"/>
              </w:rPr>
              <w:t>ISO 45001</w:t>
            </w:r>
            <w:r>
              <w:rPr>
                <w:rFonts w:hint="eastAsia" w:eastAsia="黑体"/>
                <w:b/>
                <w:szCs w:val="21"/>
              </w:rPr>
              <w:t>:2018</w:t>
            </w:r>
            <w:r>
              <w:rPr>
                <w:rFonts w:eastAsia="黑体"/>
                <w:b/>
                <w:szCs w:val="21"/>
              </w:rPr>
              <w:t>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754" w:type="dxa"/>
            <w:gridSpan w:val="4"/>
            <w:shd w:val="clear" w:color="auto" w:fill="FFFF00"/>
          </w:tcPr>
          <w:p>
            <w:pPr>
              <w:rPr>
                <w:rFonts w:ascii="宋体"/>
                <w:b/>
                <w:color w:val="000000"/>
                <w:szCs w:val="21"/>
              </w:rPr>
            </w:pPr>
            <w:r>
              <w:rPr>
                <w:rFonts w:hint="eastAsia" w:ascii="宋体" w:hAnsi="宋体"/>
                <w:b/>
                <w:color w:val="000000"/>
                <w:szCs w:val="21"/>
              </w:rPr>
              <w:t>危险源辨识、风险评价及风险控制措施策划（</w:t>
            </w:r>
            <w:r>
              <w:rPr>
                <w:rFonts w:ascii="宋体" w:hAnsi="宋体"/>
                <w:b/>
                <w:color w:val="000000"/>
                <w:szCs w:val="21"/>
              </w:rPr>
              <w:t>OHS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）是否明确了职业健康安全管理体系的覆盖范围</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）是否建立和实施了员工参与和协商的控制措施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）危险源辨识是否充分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790" w:type="dxa"/>
            <w:shd w:val="clear" w:color="auto" w:fill="FFFF0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（4）是否明确了风险评价的方法和风险确定的准则</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）风险评价是否合理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）是否建立和实施了不可接受风险的控制措施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（7）对特种设备是否按法规要求检测和备案且完好运行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（8）安全装置是否满足合规义务要求且完好运行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（9）</w:t>
            </w:r>
            <w:r>
              <w:rPr>
                <w:rFonts w:hint="eastAsia" w:ascii="宋体"/>
                <w:color w:val="000000"/>
                <w:szCs w:val="21"/>
              </w:rPr>
              <w:t>针对不可接受风险是否明确了监视和测量的要求</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是否充分识别了法律法规和其他要求并进行了合规性评价</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（11）是否建立和实施了三级安全教育的控制措施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是否充分识别了潜在的紧急情况</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（13）</w:t>
            </w:r>
            <w:r>
              <w:rPr>
                <w:rFonts w:hint="eastAsia" w:ascii="宋体"/>
                <w:color w:val="000000"/>
                <w:szCs w:val="21"/>
              </w:rPr>
              <w:t>针对潜在的紧急情况是否建立了应急准备与响应预案</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（14）</w:t>
            </w:r>
            <w:r>
              <w:rPr>
                <w:rFonts w:hint="eastAsia" w:ascii="宋体"/>
                <w:color w:val="000000"/>
                <w:szCs w:val="21"/>
              </w:rPr>
              <w:t>是否发生了紧急情况并采取了有效的控制措施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（15）</w:t>
            </w:r>
            <w:r>
              <w:rPr>
                <w:rFonts w:hint="eastAsia" w:ascii="宋体"/>
                <w:color w:val="000000"/>
                <w:szCs w:val="21"/>
              </w:rPr>
              <w:t>是否对事件、不符合进行了充分的整改并防止重复发生</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vAlign w:val="center"/>
          </w:tcPr>
          <w:p>
            <w:pPr>
              <w:ind w:left="-1" w:leftChars="-1" w:hanging="1"/>
              <w:jc w:val="left"/>
              <w:rPr>
                <w:rFonts w:ascii="宋体"/>
                <w:color w:val="000000"/>
                <w:szCs w:val="21"/>
              </w:rPr>
            </w:pPr>
            <w:r>
              <w:rPr>
                <w:rFonts w:hint="eastAsia" w:ascii="宋体" w:hAnsi="宋体"/>
                <w:color w:val="000000"/>
                <w:szCs w:val="21"/>
              </w:rPr>
              <w:t>受审核方职业健康安全管理体系认证范围内的合规性证据</w:t>
            </w:r>
          </w:p>
        </w:tc>
        <w:tc>
          <w:tcPr>
            <w:tcW w:w="5626" w:type="dxa"/>
            <w:shd w:val="clear" w:color="auto" w:fill="FFFF00"/>
          </w:tcPr>
          <w:p>
            <w:pPr>
              <w:rPr>
                <w:rFonts w:ascii="宋体"/>
                <w:color w:val="000000"/>
                <w:szCs w:val="21"/>
              </w:rPr>
            </w:pPr>
            <w:r>
              <w:rPr>
                <w:rFonts w:hint="eastAsia" w:ascii="宋体"/>
                <w:color w:val="000000"/>
                <w:szCs w:val="21"/>
              </w:rPr>
              <w:t>是否有安全预评价/现状评价报告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是否有职业健康预评估/现状评价报告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是否有消防验收报告/备案登记</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是否提供近一年的作业场所有害物质监测报告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是否提供近一年的职业健康体检报告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tcPr>
          <w:p>
            <w:pPr>
              <w:rPr>
                <w:rFonts w:ascii="宋体"/>
                <w:color w:val="000000"/>
                <w:spacing w:val="-10"/>
                <w:szCs w:val="21"/>
              </w:rPr>
            </w:pPr>
            <w:r>
              <w:rPr>
                <w:rFonts w:hint="eastAsia" w:ascii="宋体"/>
                <w:color w:val="000000"/>
                <w:spacing w:val="-10"/>
                <w:szCs w:val="21"/>
              </w:rPr>
              <w:t>职业健康安全处罚、曝光和投诉</w:t>
            </w:r>
          </w:p>
        </w:tc>
        <w:tc>
          <w:tcPr>
            <w:tcW w:w="5626" w:type="dxa"/>
            <w:shd w:val="clear" w:color="auto" w:fill="FFFF00"/>
          </w:tcPr>
          <w:p>
            <w:pPr>
              <w:rPr>
                <w:rFonts w:ascii="宋体"/>
                <w:color w:val="000000"/>
                <w:szCs w:val="21"/>
              </w:rPr>
            </w:pPr>
            <w:r>
              <w:rPr>
                <w:rFonts w:hint="eastAsia" w:ascii="宋体"/>
                <w:color w:val="000000"/>
                <w:szCs w:val="21"/>
              </w:rPr>
              <w:t>是否受到安监主管部门的处罚</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color w:val="000000"/>
                <w:szCs w:val="21"/>
              </w:rPr>
              <w:t>是否因</w:t>
            </w:r>
            <w:r>
              <w:rPr>
                <w:rFonts w:hint="eastAsia" w:ascii="宋体"/>
                <w:color w:val="000000"/>
                <w:spacing w:val="-10"/>
                <w:szCs w:val="21"/>
              </w:rPr>
              <w:t>职业健康</w:t>
            </w:r>
            <w:r>
              <w:rPr>
                <w:rFonts w:hint="eastAsia" w:ascii="宋体"/>
                <w:color w:val="000000"/>
                <w:szCs w:val="21"/>
              </w:rPr>
              <w:t>安全问题受到媒体的曝光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是否发生了重大的安全、工伤</w:t>
            </w:r>
            <w:r>
              <w:rPr>
                <w:rFonts w:hint="eastAsia" w:ascii="宋体"/>
                <w:color w:val="000000"/>
                <w:szCs w:val="21"/>
              </w:rPr>
              <w:t>和职业病</w:t>
            </w:r>
            <w:r>
              <w:rPr>
                <w:rFonts w:hint="eastAsia" w:ascii="宋体" w:hAnsi="宋体"/>
                <w:color w:val="000000"/>
                <w:szCs w:val="21"/>
              </w:rPr>
              <w:t>事故</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A3"/>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是否有相关方</w:t>
            </w:r>
            <w:r>
              <w:rPr>
                <w:rFonts w:hint="eastAsia" w:ascii="宋体"/>
                <w:color w:val="000000"/>
                <w:spacing w:val="-10"/>
                <w:szCs w:val="21"/>
              </w:rPr>
              <w:t>职业健康</w:t>
            </w:r>
            <w:r>
              <w:rPr>
                <w:rFonts w:hint="eastAsia" w:ascii="宋体"/>
                <w:color w:val="000000"/>
                <w:szCs w:val="21"/>
              </w:rPr>
              <w:t>安全方面的</w:t>
            </w:r>
            <w:r>
              <w:rPr>
                <w:rFonts w:hint="eastAsia" w:ascii="宋体" w:hAnsi="宋体"/>
                <w:color w:val="000000"/>
                <w:szCs w:val="21"/>
              </w:rPr>
              <w:t>重大投诉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shd w:val="clear" w:color="auto" w:fill="FFFF00"/>
          </w:tcPr>
          <w:p>
            <w:pPr>
              <w:rPr>
                <w:rFonts w:ascii="宋体"/>
                <w:color w:val="000000"/>
                <w:spacing w:val="-10"/>
                <w:szCs w:val="21"/>
              </w:rPr>
            </w:pPr>
            <w:r>
              <w:rPr>
                <w:rFonts w:hint="eastAsia" w:ascii="宋体"/>
                <w:color w:val="000000"/>
                <w:spacing w:val="-10"/>
                <w:szCs w:val="21"/>
              </w:rPr>
              <w:t>职业健康安全管理体系重点关注</w:t>
            </w:r>
          </w:p>
        </w:tc>
        <w:tc>
          <w:tcPr>
            <w:tcW w:w="8419" w:type="dxa"/>
            <w:gridSpan w:val="3"/>
            <w:shd w:val="clear" w:color="auto" w:fill="FFFF0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安全和职业健康主管部门、</w:t>
            </w:r>
            <w:r>
              <w:rPr>
                <w:rFonts w:hint="eastAsia" w:ascii="宋体"/>
                <w:color w:val="000000"/>
                <w:spacing w:val="-10"/>
                <w:szCs w:val="21"/>
              </w:rPr>
              <w:sym w:font="Wingdings 2" w:char="0052"/>
            </w:r>
            <w:r>
              <w:rPr>
                <w:rFonts w:hint="eastAsia" w:ascii="宋体"/>
                <w:color w:val="000000"/>
                <w:spacing w:val="-10"/>
                <w:szCs w:val="21"/>
              </w:rPr>
              <w:t>职业危害场所、</w:t>
            </w:r>
            <w:r>
              <w:rPr>
                <w:rFonts w:hint="eastAsia" w:ascii="宋体"/>
                <w:color w:val="000000"/>
                <w:spacing w:val="-10"/>
                <w:szCs w:val="21"/>
              </w:rPr>
              <w:sym w:font="Wingdings 2" w:char="0052"/>
            </w:r>
            <w:r>
              <w:rPr>
                <w:rFonts w:hint="eastAsia" w:ascii="宋体"/>
                <w:color w:val="000000"/>
                <w:spacing w:val="-10"/>
                <w:szCs w:val="21"/>
              </w:rPr>
              <w:t>高风险作业场所，□危险化学品仓库，包括周边境况。</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ind w:firstLine="207" w:firstLineChars="100"/>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9"/>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eastAsia" w:ascii="宋体" w:eastAsia="宋体"/>
                <w:b/>
                <w:color w:val="000000"/>
                <w:szCs w:val="21"/>
                <w:lang w:val="en-US" w:eastAsia="zh-CN"/>
              </w:rPr>
            </w:pPr>
            <w:r>
              <w:rPr>
                <w:rFonts w:hint="eastAsia" w:ascii="宋体"/>
                <w:b/>
                <w:color w:val="000000"/>
                <w:szCs w:val="21"/>
              </w:rPr>
              <w:t>初步定于</w:t>
            </w:r>
            <w:bookmarkStart w:id="36" w:name="二阶段审核日期"/>
            <w:r>
              <w:rPr>
                <w:rFonts w:hint="eastAsia" w:ascii="宋体"/>
                <w:b/>
                <w:color w:val="000000"/>
                <w:szCs w:val="21"/>
              </w:rPr>
              <w:t>2021-12-1</w:t>
            </w:r>
            <w:bookmarkEnd w:id="36"/>
            <w:r>
              <w:rPr>
                <w:rFonts w:hint="eastAsia" w:ascii="宋体"/>
                <w:b/>
                <w:color w:val="000000"/>
                <w:szCs w:val="21"/>
                <w:lang w:val="en-US" w:eastAsia="zh-CN"/>
              </w:rPr>
              <w:t>1</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9"/>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9"/>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242"/>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7" w:hRule="atLeast"/>
          <w:jc w:val="center"/>
        </w:trPr>
        <w:tc>
          <w:tcPr>
            <w:tcW w:w="9615"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sym w:font="Wingdings 2" w:char="0052"/>
            </w:r>
            <w:r>
              <w:rPr>
                <w:rFonts w:ascii="宋体" w:hAnsi="宋体"/>
                <w:b/>
                <w:color w:val="000000"/>
                <w:szCs w:val="21"/>
              </w:rPr>
              <w:t>EMS/</w:t>
            </w:r>
            <w:r>
              <w:rPr>
                <w:rFonts w:hint="eastAsia" w:ascii="宋体" w:hAnsi="宋体"/>
                <w:b/>
                <w:color w:val="000000"/>
                <w:spacing w:val="-10"/>
                <w:szCs w:val="21"/>
                <w:lang w:val="de-DE"/>
              </w:rPr>
              <w:sym w:font="Wingdings 2" w:char="0052"/>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A3"/>
            </w: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sym w:font="Wingdings 2" w:char="0052"/>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r>
        <w:rPr>
          <w:rFonts w:hint="eastAsia" w:ascii="楷体" w:hAnsi="楷体" w:eastAsia="楷体"/>
          <w:color w:val="000000"/>
          <w:sz w:val="28"/>
          <w:szCs w:val="28"/>
        </w:rPr>
        <w:drawing>
          <wp:anchor distT="0" distB="0" distL="114300" distR="114300" simplePos="0" relativeHeight="251662336" behindDoc="0" locked="0" layoutInCell="1" allowOverlap="1">
            <wp:simplePos x="0" y="0"/>
            <wp:positionH relativeFrom="column">
              <wp:posOffset>86995</wp:posOffset>
            </wp:positionH>
            <wp:positionV relativeFrom="paragraph">
              <wp:posOffset>-2793365</wp:posOffset>
            </wp:positionV>
            <wp:extent cx="6093460" cy="8777605"/>
            <wp:effectExtent l="0" t="0" r="2540" b="10795"/>
            <wp:wrapNone/>
            <wp:docPr id="5" name="图片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
                    <pic:cNvPicPr>
                      <a:picLocks noChangeAspect="1"/>
                    </pic:cNvPicPr>
                  </pic:nvPicPr>
                  <pic:blipFill>
                    <a:blip r:embed="rId7"/>
                    <a:stretch>
                      <a:fillRect/>
                    </a:stretch>
                  </pic:blipFill>
                  <pic:spPr>
                    <a:xfrm>
                      <a:off x="0" y="0"/>
                      <a:ext cx="6093460" cy="8777605"/>
                    </a:xfrm>
                    <a:prstGeom prst="rect">
                      <a:avLst/>
                    </a:prstGeom>
                  </pic:spPr>
                </pic:pic>
              </a:graphicData>
            </a:graphic>
          </wp:anchor>
        </w:drawing>
      </w:r>
    </w:p>
    <w:tbl>
      <w:tblPr>
        <w:tblStyle w:val="9"/>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r>
              <w:t>弹簧钢丝的生产</w:t>
            </w:r>
          </w:p>
        </w:tc>
        <w:tc>
          <w:tcPr>
            <w:tcW w:w="1541" w:type="dxa"/>
            <w:vAlign w:val="center"/>
          </w:tcPr>
          <w:p>
            <w:pPr>
              <w:rPr>
                <w:rFonts w:ascii="宋体" w:hAnsi="宋体"/>
                <w:b/>
                <w:color w:val="000000"/>
                <w:szCs w:val="21"/>
              </w:rPr>
            </w:pPr>
            <w:r>
              <w:t>Q：17.12.03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r>
              <w:t>弹簧钢丝的生产所涉及场所的相关环境管理活动</w:t>
            </w:r>
          </w:p>
        </w:tc>
        <w:tc>
          <w:tcPr>
            <w:tcW w:w="1541" w:type="dxa"/>
            <w:vAlign w:val="center"/>
          </w:tcPr>
          <w:p>
            <w:pPr>
              <w:rPr>
                <w:rFonts w:ascii="宋体" w:hAnsi="宋体"/>
                <w:b/>
                <w:color w:val="000000"/>
                <w:szCs w:val="21"/>
              </w:rPr>
            </w:pPr>
            <w:r>
              <w:t>E：17.12.03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r>
              <w:t>弹簧钢丝的生产所涉及场所的相关职业健康安全管理活动</w:t>
            </w:r>
          </w:p>
        </w:tc>
        <w:tc>
          <w:tcPr>
            <w:tcW w:w="1541" w:type="dxa"/>
            <w:vAlign w:val="center"/>
          </w:tcPr>
          <w:p>
            <w:pPr>
              <w:spacing w:line="400" w:lineRule="exact"/>
              <w:rPr>
                <w:rFonts w:ascii="宋体" w:hAnsi="宋体"/>
                <w:b/>
                <w:color w:val="000000"/>
                <w:szCs w:val="21"/>
              </w:rPr>
            </w:pPr>
            <w:r>
              <w:t>O：17.12.03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ind w:firstLine="211" w:firstLineChars="100"/>
        <w:rPr>
          <w:rFonts w:ascii="宋体" w:hAnsi="宋体"/>
          <w:b/>
          <w:color w:val="000000"/>
          <w:szCs w:val="21"/>
          <w:highlight w:val="cyan"/>
        </w:rPr>
      </w:pPr>
    </w:p>
    <w:p>
      <w:pPr>
        <w:spacing w:before="156" w:beforeLines="50" w:after="62" w:afterLines="20" w:line="360" w:lineRule="exact"/>
        <w:rPr>
          <w:rFonts w:ascii="宋体"/>
          <w:b/>
          <w:bCs/>
          <w:color w:val="000000"/>
          <w:szCs w:val="21"/>
        </w:rPr>
      </w:pPr>
      <w:r>
        <w:rPr>
          <w:rFonts w:hint="eastAsia" w:ascii="宋体" w:hAnsi="宋体"/>
          <w:b/>
          <w:bCs/>
          <w:color w:val="000000"/>
          <w:szCs w:val="21"/>
        </w:rPr>
        <w:t>十一、审核组签字</w:t>
      </w:r>
    </w:p>
    <w:p>
      <w:pPr>
        <w:spacing w:line="400" w:lineRule="exact"/>
        <w:ind w:firstLine="843" w:firstLineChars="400"/>
        <w:rPr>
          <w:rFonts w:ascii="宋体"/>
          <w:b/>
          <w:color w:val="000000"/>
          <w:szCs w:val="21"/>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强兴</w:t>
      </w:r>
      <w:r>
        <w:rPr>
          <w:rFonts w:ascii="宋体" w:hAnsi="宋体"/>
          <w:b/>
          <w:color w:val="000000"/>
          <w:szCs w:val="21"/>
        </w:rPr>
        <w:t xml:space="preserve">  </w:t>
      </w:r>
      <w:r>
        <w:rPr>
          <w:rFonts w:hint="eastAsia" w:ascii="宋体" w:hAnsi="宋体"/>
          <w:b/>
          <w:color w:val="000000"/>
          <w:szCs w:val="21"/>
          <w:lang w:val="en-US" w:eastAsia="zh-CN"/>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ind w:firstLine="843" w:firstLineChars="400"/>
        <w:rPr>
          <w:rFonts w:hint="default" w:ascii="宋体" w:eastAsia="宋体"/>
          <w:b/>
          <w:color w:val="000000"/>
          <w:szCs w:val="21"/>
          <w:lang w:val="en-US" w:eastAsia="zh-CN"/>
        </w:rPr>
      </w:pPr>
      <w:r>
        <w:rPr>
          <w:rFonts w:hint="eastAsia" w:ascii="宋体" w:hAnsi="宋体"/>
          <w:b/>
          <w:color w:val="000000"/>
          <w:szCs w:val="21"/>
        </w:rPr>
        <w:t>日期</w:t>
      </w:r>
      <w:r>
        <w:rPr>
          <w:rFonts w:ascii="宋体" w:hAnsi="宋体"/>
          <w:b/>
          <w:color w:val="000000"/>
          <w:szCs w:val="21"/>
        </w:rPr>
        <w:t xml:space="preserve">:  </w:t>
      </w:r>
      <w:r>
        <w:rPr>
          <w:rFonts w:hint="eastAsia" w:ascii="宋体" w:hAnsi="宋体"/>
          <w:b/>
          <w:color w:val="000000"/>
          <w:szCs w:val="21"/>
          <w:lang w:val="en-US" w:eastAsia="zh-CN"/>
        </w:rPr>
        <w:t>2021.12.10</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rPr>
          <w:rFonts w:eastAsia="隶书"/>
          <w:color w:val="000000"/>
          <w:szCs w:val="21"/>
        </w:rPr>
        <w:br w:type="page"/>
      </w:r>
    </w:p>
    <w:p>
      <w:pPr>
        <w:snapToGrid w:val="0"/>
        <w:spacing w:line="400" w:lineRule="exact"/>
        <w:rPr>
          <w:rFonts w:eastAsia="隶书"/>
          <w:color w:val="000000"/>
          <w:szCs w:val="21"/>
        </w:rPr>
      </w:pPr>
      <w:bookmarkStart w:id="37" w:name="_GoBack"/>
      <w:r>
        <w:rPr>
          <w:rFonts w:hint="eastAsia" w:eastAsia="隶书"/>
          <w:color w:val="000000"/>
          <w:sz w:val="21"/>
          <w:szCs w:val="21"/>
        </w:rPr>
        <w:drawing>
          <wp:anchor distT="0" distB="0" distL="114300" distR="114300" simplePos="0" relativeHeight="251663360" behindDoc="0" locked="0" layoutInCell="1" allowOverlap="1">
            <wp:simplePos x="0" y="0"/>
            <wp:positionH relativeFrom="column">
              <wp:posOffset>59690</wp:posOffset>
            </wp:positionH>
            <wp:positionV relativeFrom="paragraph">
              <wp:posOffset>-302260</wp:posOffset>
            </wp:positionV>
            <wp:extent cx="6134100" cy="8794750"/>
            <wp:effectExtent l="0" t="0" r="0" b="6350"/>
            <wp:wrapNone/>
            <wp:docPr id="6"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
                    <pic:cNvPicPr>
                      <a:picLocks noChangeAspect="1"/>
                    </pic:cNvPicPr>
                  </pic:nvPicPr>
                  <pic:blipFill>
                    <a:blip r:embed="rId8"/>
                    <a:stretch>
                      <a:fillRect/>
                    </a:stretch>
                  </pic:blipFill>
                  <pic:spPr>
                    <a:xfrm>
                      <a:off x="0" y="0"/>
                      <a:ext cx="6134100" cy="8794750"/>
                    </a:xfrm>
                    <a:prstGeom prst="rect">
                      <a:avLst/>
                    </a:prstGeom>
                  </pic:spPr>
                </pic:pic>
              </a:graphicData>
            </a:graphic>
          </wp:anchor>
        </w:drawing>
      </w:r>
      <w:bookmarkEnd w:id="37"/>
      <w:r>
        <w:rPr>
          <w:rFonts w:hint="eastAsia" w:eastAsia="隶书"/>
          <w:color w:val="000000"/>
          <w:szCs w:val="21"/>
        </w:rPr>
        <w:t>附</w:t>
      </w:r>
    </w:p>
    <w:p>
      <w:pPr>
        <w:pStyle w:val="7"/>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7"/>
        <w:pBdr>
          <w:bottom w:val="none" w:color="auto" w:sz="0" w:space="0"/>
        </w:pBdr>
        <w:ind w:right="600"/>
        <w:jc w:val="both"/>
        <w:rPr>
          <w:rFonts w:eastAsia="隶书"/>
          <w:color w:val="000000"/>
          <w:sz w:val="21"/>
          <w:szCs w:val="21"/>
        </w:rPr>
      </w:pPr>
      <w:r>
        <w:rPr>
          <w:rFonts w:hint="eastAsia" w:eastAsia="隶书"/>
          <w:color w:val="000000"/>
          <w:sz w:val="21"/>
          <w:szCs w:val="21"/>
        </w:rPr>
        <w:t>受审核方：</w:t>
      </w:r>
    </w:p>
    <w:tbl>
      <w:tblPr>
        <w:tblStyle w:val="9"/>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rFonts w:hint="eastAsia" w:eastAsia="宋体"/>
                <w:color w:val="000000"/>
                <w:sz w:val="21"/>
                <w:szCs w:val="21"/>
                <w:lang w:val="en-US" w:eastAsia="zh-CN"/>
              </w:rPr>
            </w:pPr>
            <w:r>
              <w:rPr>
                <w:rFonts w:hint="eastAsia"/>
                <w:color w:val="000000"/>
                <w:sz w:val="21"/>
                <w:szCs w:val="21"/>
                <w:lang w:val="en-US" w:eastAsia="zh-CN"/>
              </w:rPr>
              <w:t>无</w:t>
            </w: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rFonts w:hint="default" w:eastAsia="宋体"/>
                <w:b/>
                <w:color w:val="000000"/>
                <w:szCs w:val="21"/>
                <w:lang w:val="en-US" w:eastAsia="zh-CN"/>
              </w:rPr>
            </w:pPr>
            <w:r>
              <w:rPr>
                <w:rFonts w:hint="eastAsia"/>
                <w:b/>
                <w:color w:val="000000"/>
                <w:szCs w:val="21"/>
              </w:rPr>
              <w:t>审核组长：</w:t>
            </w:r>
            <w:r>
              <w:rPr>
                <w:rFonts w:hint="eastAsia"/>
                <w:b/>
                <w:color w:val="000000"/>
                <w:szCs w:val="21"/>
                <w:lang w:val="en-US" w:eastAsia="zh-CN"/>
              </w:rPr>
              <w:t>强兴</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12</w:t>
            </w:r>
            <w:r>
              <w:rPr>
                <w:rFonts w:hint="eastAsia"/>
                <w:b/>
                <w:color w:val="000000"/>
                <w:szCs w:val="21"/>
              </w:rPr>
              <w:t>月</w:t>
            </w:r>
            <w:r>
              <w:rPr>
                <w:rFonts w:hint="eastAsia"/>
                <w:b/>
                <w:color w:val="000000"/>
                <w:szCs w:val="21"/>
                <w:lang w:val="en-US" w:eastAsia="zh-CN"/>
              </w:rPr>
              <w:t>10</w:t>
            </w:r>
            <w:r>
              <w:rPr>
                <w:rFonts w:hint="eastAsia"/>
                <w:b/>
                <w:color w:val="000000"/>
                <w:szCs w:val="21"/>
              </w:rPr>
              <w:t>日</w:t>
            </w:r>
          </w:p>
        </w:tc>
        <w:tc>
          <w:tcPr>
            <w:tcW w:w="5392" w:type="dxa"/>
            <w:gridSpan w:val="4"/>
          </w:tcPr>
          <w:p>
            <w:pPr>
              <w:spacing w:line="280" w:lineRule="exact"/>
              <w:rPr>
                <w:b/>
                <w:color w:val="000000"/>
                <w:szCs w:val="21"/>
              </w:rPr>
            </w:pPr>
            <w:r>
              <w:rPr>
                <w:rFonts w:hint="eastAsia"/>
                <w:b/>
                <w:color w:val="000000"/>
                <w:szCs w:val="21"/>
              </w:rPr>
              <w:t>受审核方代表</w:t>
            </w:r>
          </w:p>
          <w:p>
            <w:pPr>
              <w:spacing w:line="280" w:lineRule="exact"/>
              <w:rPr>
                <w:b/>
                <w:color w:val="000000"/>
                <w:szCs w:val="21"/>
              </w:rPr>
            </w:pPr>
          </w:p>
          <w:p>
            <w:pPr>
              <w:spacing w:line="280" w:lineRule="exact"/>
              <w:rPr>
                <w:b/>
                <w:color w:val="000000"/>
                <w:szCs w:val="21"/>
              </w:rPr>
            </w:pPr>
            <w:r>
              <w:rPr>
                <w:rFonts w:hint="eastAsia"/>
                <w:b/>
                <w:color w:val="000000"/>
                <w:szCs w:val="21"/>
              </w:rPr>
              <w:t>日期：年月日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w:t>
            </w:r>
            <w:r>
              <w:rPr>
                <w:rFonts w:hint="eastAsia"/>
                <w:b/>
                <w:color w:val="000000"/>
                <w:spacing w:val="-10"/>
                <w:szCs w:val="21"/>
              </w:rPr>
              <w:sym w:font="Wingdings 2" w:char="0052"/>
            </w:r>
            <w:r>
              <w:rPr>
                <w:rFonts w:hint="eastAsia"/>
                <w:b/>
                <w:color w:val="000000"/>
                <w:spacing w:val="-10"/>
                <w:szCs w:val="21"/>
              </w:rPr>
              <w:t>可进行二阶段审核□需再次安排一阶段审核□不进入二阶段审核</w:t>
            </w:r>
            <w:r>
              <w:rPr>
                <w:b/>
                <w:color w:val="000000"/>
                <w:spacing w:val="-10"/>
                <w:szCs w:val="21"/>
              </w:rPr>
              <w:tab/>
            </w:r>
          </w:p>
          <w:p>
            <w:pPr>
              <w:spacing w:line="280" w:lineRule="exact"/>
              <w:rPr>
                <w:b/>
                <w:color w:val="000000"/>
                <w:szCs w:val="21"/>
              </w:rPr>
            </w:pPr>
          </w:p>
          <w:p>
            <w:pPr>
              <w:spacing w:line="280" w:lineRule="exact"/>
              <w:rPr>
                <w:b/>
                <w:color w:val="000000"/>
                <w:szCs w:val="21"/>
              </w:rPr>
            </w:pPr>
            <w:r>
              <w:rPr>
                <w:rFonts w:hint="eastAsia"/>
                <w:b/>
                <w:color w:val="000000"/>
                <w:szCs w:val="21"/>
              </w:rPr>
              <w:t>验证人：</w:t>
            </w:r>
            <w:r>
              <w:rPr>
                <w:rFonts w:hint="eastAsia"/>
                <w:b/>
                <w:color w:val="000000"/>
                <w:szCs w:val="21"/>
                <w:lang w:val="en-US" w:eastAsia="zh-CN"/>
              </w:rPr>
              <w:t xml:space="preserve">强兴       </w:t>
            </w:r>
            <w:r>
              <w:rPr>
                <w:rFonts w:hint="eastAsia"/>
                <w:b/>
                <w:color w:val="000000"/>
                <w:szCs w:val="21"/>
              </w:rPr>
              <w:t>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12</w:t>
            </w:r>
            <w:r>
              <w:rPr>
                <w:rFonts w:hint="eastAsia"/>
                <w:b/>
                <w:color w:val="000000"/>
                <w:szCs w:val="21"/>
              </w:rPr>
              <w:t>月</w:t>
            </w:r>
            <w:r>
              <w:rPr>
                <w:rFonts w:hint="eastAsia"/>
                <w:b/>
                <w:color w:val="000000"/>
                <w:szCs w:val="21"/>
                <w:lang w:val="en-US" w:eastAsia="zh-CN"/>
              </w:rPr>
              <w:t>10</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single" w:color="auto" w:sz="4" w:space="1"/>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3"/>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00000"/>
    <w:rsid w:val="105D5C0D"/>
    <w:rsid w:val="2AF00AC8"/>
    <w:rsid w:val="5CE7023C"/>
    <w:rsid w:val="76BE55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qFormat/>
    <w:uiPriority w:val="0"/>
    <w:pPr>
      <w:tabs>
        <w:tab w:val="left" w:pos="1560"/>
        <w:tab w:val="left" w:pos="1985"/>
      </w:tabs>
      <w:ind w:left="1560" w:hanging="1560"/>
      <w:jc w:val="left"/>
    </w:pPr>
    <w:rPr>
      <w:lang w:eastAsia="ja-JP"/>
    </w:rPr>
  </w:style>
  <w:style w:type="paragraph" w:styleId="5">
    <w:name w:val="Balloon Text"/>
    <w:basedOn w:val="1"/>
    <w:link w:val="12"/>
    <w:semiHidden/>
    <w:qFormat/>
    <w:uiPriority w:val="99"/>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8">
    <w:name w:val="Subtitle"/>
    <w:basedOn w:val="1"/>
    <w:next w:val="1"/>
    <w:link w:val="15"/>
    <w:qFormat/>
    <w:uiPriority w:val="99"/>
    <w:pPr>
      <w:spacing w:before="240" w:after="60" w:line="312" w:lineRule="auto"/>
      <w:jc w:val="center"/>
      <w:outlineLvl w:val="1"/>
    </w:pPr>
    <w:rPr>
      <w:rFonts w:ascii="Cambria" w:hAnsi="Cambria"/>
      <w:b/>
      <w:bCs/>
      <w:kern w:val="28"/>
      <w:sz w:val="32"/>
      <w:szCs w:val="32"/>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5"/>
    <w:semiHidden/>
    <w:qFormat/>
    <w:locked/>
    <w:uiPriority w:val="99"/>
    <w:rPr>
      <w:rFonts w:ascii="Times New Roman" w:hAnsi="Times New Roman" w:eastAsia="宋体" w:cs="Times New Roman"/>
      <w:sz w:val="18"/>
      <w:szCs w:val="18"/>
    </w:rPr>
  </w:style>
  <w:style w:type="character" w:customStyle="1" w:styleId="13">
    <w:name w:val="页脚 Char"/>
    <w:link w:val="6"/>
    <w:qFormat/>
    <w:locked/>
    <w:uiPriority w:val="99"/>
    <w:rPr>
      <w:rFonts w:ascii="Times New Roman" w:hAnsi="Times New Roman" w:eastAsia="宋体" w:cs="Times New Roman"/>
      <w:sz w:val="18"/>
      <w:szCs w:val="18"/>
    </w:rPr>
  </w:style>
  <w:style w:type="character" w:customStyle="1" w:styleId="14">
    <w:name w:val="页眉 Char"/>
    <w:link w:val="7"/>
    <w:qFormat/>
    <w:locked/>
    <w:uiPriority w:val="99"/>
    <w:rPr>
      <w:rFonts w:ascii="Calibri" w:hAnsi="Calibri" w:eastAsia="宋体" w:cs="Times New Roman"/>
      <w:sz w:val="18"/>
      <w:szCs w:val="18"/>
    </w:rPr>
  </w:style>
  <w:style w:type="character" w:customStyle="1" w:styleId="15">
    <w:name w:val="副标题 Char"/>
    <w:link w:val="8"/>
    <w:qFormat/>
    <w:locked/>
    <w:uiPriority w:val="99"/>
    <w:rPr>
      <w:rFonts w:ascii="Cambria" w:hAnsi="Cambria" w:eastAsia="宋体" w:cs="Times New Roman"/>
      <w:b/>
      <w:bCs/>
      <w:kern w:val="28"/>
      <w:sz w:val="32"/>
      <w:szCs w:val="32"/>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Body 11pt AS0"/>
    <w:basedOn w:val="1"/>
    <w:qFormat/>
    <w:uiPriority w:val="0"/>
    <w:pPr>
      <w:spacing w:before="60"/>
    </w:pPr>
    <w:rPr>
      <w:sz w:val="22"/>
    </w:rPr>
  </w:style>
  <w:style w:type="paragraph" w:customStyle="1" w:styleId="18">
    <w:name w:val="Body 10pt De Left AS0"/>
    <w:basedOn w:val="1"/>
    <w:qFormat/>
    <w:uiPriority w:val="0"/>
  </w:style>
  <w:style w:type="paragraph" w:customStyle="1" w:styleId="19">
    <w:name w:val="Header 10pt De PS0"/>
    <w:basedOn w:val="1"/>
    <w:qFormat/>
    <w:uiPriority w:val="0"/>
    <w:pPr>
      <w:spacing w:before="40" w:after="40"/>
    </w:pPr>
    <w:rPr>
      <w:rFonts w:eastAsia="Times New Roman"/>
      <w:b/>
      <w:sz w:val="20"/>
      <w:szCs w:val="20"/>
      <w:lang w:val="de-DE" w:eastAsia="de-DE"/>
    </w:rPr>
  </w:style>
  <w:style w:type="paragraph" w:customStyle="1" w:styleId="20">
    <w:name w:val="TM_accreditation"/>
    <w:basedOn w:val="1"/>
    <w:qFormat/>
    <w:uiPriority w:val="0"/>
    <w:pPr>
      <w:spacing w:before="40" w:after="40"/>
    </w:pPr>
    <w:rPr>
      <w:rFonts w:eastAsia="Times New Roman"/>
      <w:sz w:val="20"/>
      <w:szCs w:val="20"/>
      <w:lang w:val="en-GB" w:eastAsia="de-DE"/>
    </w:rPr>
  </w:style>
  <w:style w:type="paragraph" w:customStyle="1" w:styleId="21">
    <w:name w:val="Body 6pt"/>
    <w:basedOn w:val="1"/>
    <w:qFormat/>
    <w:uiPriority w:val="0"/>
    <w:pPr>
      <w:spacing w:before="40" w:after="40"/>
    </w:pPr>
    <w:rPr>
      <w:rFonts w:eastAsia="Times New Roman"/>
      <w:sz w:val="12"/>
      <w:szCs w:val="20"/>
      <w:lang w:val="de-DE" w:eastAsia="de-DE"/>
    </w:rPr>
  </w:style>
  <w:style w:type="paragraph" w:customStyle="1" w:styleId="22">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3">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1414</Words>
  <Characters>8065</Characters>
  <Lines>67</Lines>
  <Paragraphs>18</Paragraphs>
  <TotalTime>1</TotalTime>
  <ScaleCrop>false</ScaleCrop>
  <LinksUpToDate>false</LinksUpToDate>
  <CharactersWithSpaces>9461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hb</cp:lastModifiedBy>
  <dcterms:modified xsi:type="dcterms:W3CDTF">2022-01-04T07:39:10Z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2052-11.1.0.11194</vt:lpwstr>
  </property>
</Properties>
</file>