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349"/>
        <w:gridCol w:w="948"/>
        <w:gridCol w:w="212"/>
        <w:gridCol w:w="1289"/>
        <w:gridCol w:w="269"/>
        <w:gridCol w:w="735"/>
        <w:gridCol w:w="934"/>
        <w:gridCol w:w="316"/>
        <w:gridCol w:w="446"/>
        <w:gridCol w:w="550"/>
        <w:gridCol w:w="680"/>
        <w:gridCol w:w="69"/>
        <w:gridCol w:w="242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8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北大荒商贸集团泸州三粮农业发展有限公司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80" w:type="dxa"/>
            <w:gridSpan w:val="14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泸州市纳溪区</w:t>
            </w:r>
            <w:bookmarkEnd w:id="1"/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大渡口镇解放街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80" w:type="dxa"/>
            <w:gridSpan w:val="14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四川省泸州市纳溪区蓝天路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3段12号（办公地址）</w:t>
            </w:r>
          </w:p>
          <w:p>
            <w:pP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四川省泸州市纳溪区蓝天路三段新厂区内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1号仓库</w:t>
            </w:r>
          </w:p>
          <w:p>
            <w:pP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四川省泸州市纳溪区蓝天路三段新厂区内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2-1号仓库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四川省泸州市纳溪区蓝天路三段新厂区内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3号仓库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万先正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手机"/>
            <w:r>
              <w:rPr>
                <w:sz w:val="21"/>
                <w:szCs w:val="21"/>
              </w:rPr>
              <w:t>13350819103</w:t>
            </w:r>
            <w:bookmarkEnd w:id="2"/>
          </w:p>
        </w:tc>
        <w:tc>
          <w:tcPr>
            <w:tcW w:w="99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3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602925806@qq.com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1" w:type="dxa"/>
            <w:vAlign w:val="center"/>
          </w:tcPr>
          <w:p>
            <w:r>
              <w:rPr>
                <w:rFonts w:hint="eastAsia"/>
                <w:sz w:val="21"/>
                <w:szCs w:val="21"/>
                <w:highlight w:val="none"/>
              </w:rPr>
              <w:t>最高管理者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after="156" w:afterLines="50"/>
              <w:ind w:right="482" w:firstLine="3675" w:firstLineChars="1750"/>
              <w:jc w:val="left"/>
            </w:pPr>
            <w:bookmarkStart w:id="4" w:name="最高管理者"/>
            <w:bookmarkEnd w:id="4"/>
            <w:r>
              <w:rPr>
                <w:rFonts w:hint="eastAsia"/>
                <w:sz w:val="21"/>
                <w:szCs w:val="21"/>
                <w:lang w:val="en-US" w:eastAsia="zh-CN"/>
              </w:rPr>
              <w:t>谢任金山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85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9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3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0483-2020-F-2021</w:t>
            </w:r>
            <w:bookmarkEnd w:id="6"/>
          </w:p>
        </w:tc>
        <w:tc>
          <w:tcPr>
            <w:tcW w:w="155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113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80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80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80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80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80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48" w:type="dxa"/>
            <w:gridSpan w:val="10"/>
            <w:vAlign w:val="center"/>
          </w:tcPr>
          <w:p>
            <w:pPr>
              <w:rPr>
                <w:rFonts w:hint="eastAsia"/>
                <w:sz w:val="20"/>
              </w:rPr>
            </w:pPr>
            <w:bookmarkStart w:id="19" w:name="审核范围"/>
            <w:r>
              <w:rPr>
                <w:rFonts w:hint="eastAsia"/>
                <w:sz w:val="20"/>
                <w:lang w:val="en-US" w:eastAsia="zh-CN"/>
              </w:rPr>
              <w:t>位于四川省泸州市纳溪区蓝天路三段新厂区1、2-1、3号仓库北大荒</w:t>
            </w:r>
            <w:r>
              <w:rPr>
                <w:rFonts w:hint="eastAsia"/>
                <w:sz w:val="20"/>
              </w:rPr>
              <w:t>商贸集团泸州三粮农业发展有限公司</w:t>
            </w:r>
            <w:r>
              <w:rPr>
                <w:rFonts w:hint="eastAsia"/>
                <w:sz w:val="20"/>
                <w:lang w:val="en-US" w:eastAsia="zh-CN"/>
              </w:rPr>
              <w:t>仓储区</w:t>
            </w:r>
            <w:r>
              <w:rPr>
                <w:rFonts w:hint="eastAsia"/>
                <w:sz w:val="20"/>
              </w:rPr>
              <w:t>预包装食品、散装食品（高粱、玉米、小麦、大米、糯米）的销售（配送和贮藏）</w:t>
            </w:r>
            <w:bookmarkEnd w:id="19"/>
          </w:p>
          <w:p>
            <w:pPr>
              <w:rPr>
                <w:sz w:val="20"/>
              </w:rPr>
            </w:pP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GII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80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8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2021年12月12日 上午至2021年12月13日 下午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2.0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8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8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任学礼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2021-N1FSMS-1232990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GII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15708225160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54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1" w:type="dxa"/>
            <w:vAlign w:val="center"/>
          </w:tcPr>
          <w:p/>
        </w:tc>
        <w:tc>
          <w:tcPr>
            <w:tcW w:w="13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Align w:val="center"/>
          </w:tcPr>
          <w:p/>
        </w:tc>
        <w:tc>
          <w:tcPr>
            <w:tcW w:w="13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1" w:type="dxa"/>
            <w:vAlign w:val="center"/>
          </w:tcPr>
          <w:p/>
        </w:tc>
        <w:tc>
          <w:tcPr>
            <w:tcW w:w="13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299" w:type="dxa"/>
            <w:gridSpan w:val="3"/>
            <w:vAlign w:val="center"/>
          </w:tcPr>
          <w:p/>
        </w:tc>
        <w:tc>
          <w:tcPr>
            <w:tcW w:w="13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1318895" cy="401320"/>
                  <wp:effectExtent l="0" t="0" r="6985" b="10795"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895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9" w:name="_GoBack"/>
            <w:bookmarkEnd w:id="29"/>
          </w:p>
        </w:tc>
        <w:tc>
          <w:tcPr>
            <w:tcW w:w="150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15708225160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2021.12.9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2021-12-12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内外部环境、相关方需求和期望识别、风险和机遇识别及应对措施；食品安全管理体系范围、食品安全管理体系及其过程、领导作用、食品安全目标及其实现的策划、应急准备和响应、资源投入、基础设施和工作环境、沟通、体系文件总策划、运行策划和控制、监视测量分析和评价（总则）、内部审核、管理评审、改进（总则）、持续改进及更新，管理评审、初审不符合项跟踪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F:4.1-4.4/5.1/5.2/5.3/6.1/6.2/6.3/7.1.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1/9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.1.1/9.2/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9.3/10.1-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10.3</w:t>
            </w:r>
          </w:p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现场巡视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基础设施、工作环境、</w:t>
            </w:r>
            <w:r>
              <w:rPr>
                <w:rFonts w:cs="Arial"/>
                <w:bCs/>
                <w:sz w:val="18"/>
                <w:szCs w:val="18"/>
              </w:rPr>
              <w:t>PRPs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、OPRP等的现场情况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食品安全小组</w:t>
            </w:r>
          </w:p>
        </w:tc>
        <w:tc>
          <w:tcPr>
            <w:tcW w:w="3038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食品安全小组组长及职责、体系策划、操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作性前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提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方案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、危害控制计划的建立和实施总则、预备步骤、危害分析、ORPP和制定控制措施、关键控制点（CCP）的确定、关键限值的确定、CCP的监控、建立关键限值偏离时的纠偏措施、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hint="eastAsia" w:cs="Arial"/>
                <w:bCs/>
                <w:sz w:val="18"/>
                <w:szCs w:val="18"/>
              </w:rPr>
              <w:t>前提方案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HACCP计划的确认和验证及结果分析、体系更新等</w:t>
            </w: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F: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7.1.5/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8.1-8.6/8.8/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9.1.2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2021-12-13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vMerge w:val="restart"/>
            <w:shd w:val="clear" w:color="auto" w:fill="auto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3038" w:type="dxa"/>
            <w:vMerge w:val="restart"/>
            <w:shd w:val="clear" w:color="auto" w:fill="auto"/>
          </w:tcPr>
          <w:p>
            <w:pPr>
              <w:spacing w:line="300" w:lineRule="exact"/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目标、职责、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外部提供的过程、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原辅料、食品包装材料安全卫生保障制度及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计划、食品欺诈和过敏原控制</w:t>
            </w:r>
          </w:p>
          <w:p>
            <w:pPr>
              <w:spacing w:line="30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储存/物流配送过程控制、前提方案、操作性前提方案、基础设施、工作环境、标识和追溯性、OPRP和CCP的监控、HACCP计划记录的保持、不合格控制、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产品召回计划(可</w:t>
            </w: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追溯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产品</w:t>
            </w: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留样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)、HACCP计划的确认和验证、监视和测量设备的控制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订单管理、顾客沟通及投诉相关信息处理</w:t>
            </w:r>
          </w:p>
        </w:tc>
        <w:tc>
          <w:tcPr>
            <w:tcW w:w="2469" w:type="dxa"/>
            <w:vMerge w:val="restart"/>
            <w:shd w:val="clear" w:color="auto" w:fill="auto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F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:5.3/6.2/7.1.3/7.1.4/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7.1.6/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7.4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8.2/8.3/8.4/8.5.4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8.7/8.8/8.9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038" w:type="dxa"/>
            <w:vMerge w:val="continue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469" w:type="dxa"/>
            <w:vMerge w:val="continue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auto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营销部（继续）</w:t>
            </w:r>
          </w:p>
        </w:tc>
        <w:tc>
          <w:tcPr>
            <w:tcW w:w="303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目标、职责、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外部提供的过程、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原辅料、食品包装材料安全卫生保障制度及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计划、食品欺诈和过敏原控制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储存/物流配送过程控制、前提方案、操作性前提方案、基础设施、工作环境、标识和追溯性、OPRP和CCP的监控、HACCP计划记录的保持、不合格控制、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产品召回计划(可</w:t>
            </w: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追溯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产品</w:t>
            </w: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留样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)、HACCP计划的确认和验证、监视和测量设备的控制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订单管理、顾客沟通及投诉相关信息处理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F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:5.3/6.2/7.1.3/7.1.4/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7.1.6/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7.4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8.2/8.3/8.4/8.5.4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8.7/8.8/8.9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部门职责、文件和记录管理、人员管理/信息沟通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F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6.2/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7.1.2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/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7.2/7.3/7.4/7.5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管理层沟通及末次会议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numPr>
          <w:ilvl w:val="0"/>
          <w:numId w:val="1"/>
        </w:num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numPr>
          <w:ilvl w:val="0"/>
          <w:numId w:val="1"/>
        </w:num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numPr>
          <w:ilvl w:val="0"/>
          <w:numId w:val="1"/>
        </w:num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numPr>
          <w:ilvl w:val="0"/>
          <w:numId w:val="1"/>
        </w:num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numPr>
          <w:ilvl w:val="0"/>
          <w:numId w:val="1"/>
        </w:num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numPr>
          <w:ilvl w:val="0"/>
          <w:numId w:val="1"/>
        </w:num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tabs>
        <w:tab w:val="left" w:pos="8910"/>
        <w:tab w:val="left" w:pos="9045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Bdr>
        <w:bottom w:val="single" w:color="auto" w:sz="4" w:space="0"/>
      </w:pBdr>
      <w:tabs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351"/>
    <w:rsid w:val="00055A8B"/>
    <w:rsid w:val="008A4E38"/>
    <w:rsid w:val="00937351"/>
    <w:rsid w:val="00EC526D"/>
    <w:rsid w:val="049C16D0"/>
    <w:rsid w:val="083F7479"/>
    <w:rsid w:val="0A93381B"/>
    <w:rsid w:val="0B145A0F"/>
    <w:rsid w:val="0C854B30"/>
    <w:rsid w:val="11510A04"/>
    <w:rsid w:val="11A651F9"/>
    <w:rsid w:val="171A1BFA"/>
    <w:rsid w:val="1BCB49D6"/>
    <w:rsid w:val="1C7B531C"/>
    <w:rsid w:val="1EC600C2"/>
    <w:rsid w:val="20324EEC"/>
    <w:rsid w:val="257A2383"/>
    <w:rsid w:val="270547A6"/>
    <w:rsid w:val="285D03F9"/>
    <w:rsid w:val="28B45050"/>
    <w:rsid w:val="2A5943E1"/>
    <w:rsid w:val="30810994"/>
    <w:rsid w:val="337B6B4A"/>
    <w:rsid w:val="34B86927"/>
    <w:rsid w:val="3643068E"/>
    <w:rsid w:val="3AD85BCE"/>
    <w:rsid w:val="3BFB3B3D"/>
    <w:rsid w:val="3D073B41"/>
    <w:rsid w:val="4033251E"/>
    <w:rsid w:val="42F006E5"/>
    <w:rsid w:val="455B71E2"/>
    <w:rsid w:val="48566CF1"/>
    <w:rsid w:val="48596F14"/>
    <w:rsid w:val="4E8D0F38"/>
    <w:rsid w:val="56402F52"/>
    <w:rsid w:val="564558F4"/>
    <w:rsid w:val="570D2F1B"/>
    <w:rsid w:val="577E30F4"/>
    <w:rsid w:val="5BDB6C3E"/>
    <w:rsid w:val="5D08061A"/>
    <w:rsid w:val="60663E56"/>
    <w:rsid w:val="68543BAD"/>
    <w:rsid w:val="6C0A5638"/>
    <w:rsid w:val="6FA428A3"/>
    <w:rsid w:val="7DD624F0"/>
    <w:rsid w:val="7EB838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825</Words>
  <Characters>4705</Characters>
  <Lines>39</Lines>
  <Paragraphs>11</Paragraphs>
  <TotalTime>2</TotalTime>
  <ScaleCrop>false</ScaleCrop>
  <LinksUpToDate>false</LinksUpToDate>
  <CharactersWithSpaces>5519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</cp:lastModifiedBy>
  <dcterms:modified xsi:type="dcterms:W3CDTF">2021-12-18T04:39:29Z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