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1258-2021-Q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河北恒讯达信息科技有限公司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w:t>
            </w:r>
            <w:r>
              <w:rPr>
                <w:rFonts w:hint="eastAsia" w:ascii="宋体"/>
                <w:b/>
                <w:color w:val="000000"/>
                <w:szCs w:val="21"/>
                <w:lang w:val="en-US" w:eastAsia="zh-CN"/>
              </w:rPr>
              <w:t>10</w:t>
            </w:r>
            <w:r>
              <w:rPr>
                <w:rFonts w:hint="eastAsia" w:ascii="宋体"/>
                <w:b/>
                <w:color w:val="000000"/>
                <w:szCs w:val="21"/>
              </w:rPr>
              <w:t>日 上午至2021年12月</w:t>
            </w:r>
            <w:r>
              <w:rPr>
                <w:rFonts w:hint="eastAsia" w:ascii="宋体"/>
                <w:b/>
                <w:color w:val="000000"/>
                <w:szCs w:val="21"/>
                <w:lang w:val="en-US" w:eastAsia="zh-CN"/>
              </w:rPr>
              <w:t>10</w:t>
            </w:r>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w:t>
            </w:r>
          </w:p>
          <w:p>
            <w:pPr>
              <w:rPr>
                <w:rFonts w:ascii="宋体"/>
                <w:b/>
                <w:color w:val="000000"/>
                <w:szCs w:val="21"/>
              </w:rPr>
            </w:pPr>
            <w:r>
              <w:rPr>
                <w:rFonts w:hint="eastAsia" w:ascii="宋体"/>
                <w:b/>
                <w:color w:val="000000"/>
                <w:szCs w:val="21"/>
              </w:rPr>
              <w:t>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bookmarkStart w:id="11" w:name="QJ勾选Add2"/>
            <w:r>
              <w:rPr>
                <w:rFonts w:hint="eastAsia" w:ascii="宋体" w:hAnsi="宋体"/>
                <w:b/>
                <w:color w:val="000000"/>
                <w:szCs w:val="21"/>
                <w:lang w:val="de-DE"/>
              </w:rPr>
              <w:t>□</w:t>
            </w:r>
            <w:bookmarkEnd w:id="11"/>
            <w:r>
              <w:rPr>
                <w:rFonts w:hint="eastAsia" w:ascii="宋体" w:hAnsi="宋体"/>
                <w:b/>
                <w:color w:val="000000"/>
                <w:szCs w:val="21"/>
                <w:lang w:val="de-DE"/>
              </w:rPr>
              <w:t>GB/T 50430-2017</w:t>
            </w:r>
            <w:bookmarkStart w:id="12" w:name="E勾选Add2"/>
            <w:r>
              <w:rPr>
                <w:rFonts w:hint="eastAsia" w:ascii="宋体" w:hAnsi="宋体"/>
                <w:b/>
                <w:color w:val="000000"/>
                <w:szCs w:val="21"/>
                <w:lang w:val="de-DE"/>
              </w:rPr>
              <w:t>□</w:t>
            </w:r>
            <w:bookmarkEnd w:id="12"/>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3" w:name="S勾选Add2"/>
            <w:r>
              <w:rPr>
                <w:rFonts w:hint="eastAsia" w:ascii="宋体" w:hAnsi="宋体"/>
                <w:b/>
                <w:color w:val="000000"/>
                <w:szCs w:val="21"/>
                <w:lang w:val="de-DE"/>
              </w:rPr>
              <w:t>□</w:t>
            </w:r>
            <w:bookmarkEnd w:id="13"/>
            <w:r>
              <w:rPr>
                <w:rFonts w:hint="eastAsia" w:ascii="宋体" w:hAnsi="宋体"/>
                <w:b/>
                <w:color w:val="000000"/>
                <w:szCs w:val="21"/>
                <w:lang w:val="de-DE"/>
              </w:rPr>
              <w:t>ISO45001：2018</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河北省石家庄市桥西区裕华西路128号乐活大厦B座20层2009室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2020-N0QMS-1215052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河北恒讯达信息科技有限公司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河北省石家庄市桥西区裕华西路128号乐活大厦B座20层2009室</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河北省石家庄市桥西区裕华西路128号乐活大厦B座20层2009室</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李红红</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18503222083</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魏永红</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李红红</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b w:val="0"/>
                <w:bCs w:val="0"/>
                <w:sz w:val="21"/>
                <w:szCs w:val="21"/>
              </w:rPr>
              <w:t>信息安全技术服务（包含网络安全等级保护测评、信息安全风险评估）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pacing w:line="400" w:lineRule="exact"/>
              <w:rPr>
                <w:rFonts w:hint="eastAsia"/>
                <w:b w:val="0"/>
                <w:bCs w:val="0"/>
                <w:sz w:val="21"/>
                <w:szCs w:val="21"/>
              </w:rPr>
            </w:pPr>
            <w:r>
              <w:rPr>
                <w:rFonts w:hint="eastAsia"/>
                <w:b w:val="0"/>
                <w:bCs w:val="0"/>
                <w:sz w:val="21"/>
                <w:szCs w:val="21"/>
              </w:rPr>
              <w:t>⑴网络安全等级保护测评：信息调研---方案设计、编制---现场测评---对方整改------复评---分析---编制报告。</w:t>
            </w:r>
          </w:p>
          <w:p>
            <w:pPr>
              <w:spacing w:line="400" w:lineRule="exact"/>
              <w:rPr>
                <w:rFonts w:ascii="宋体"/>
                <w:color w:val="000000"/>
                <w:szCs w:val="21"/>
              </w:rPr>
            </w:pPr>
            <w:r>
              <w:rPr>
                <w:rFonts w:hint="eastAsia"/>
                <w:b w:val="0"/>
                <w:bCs w:val="0"/>
                <w:sz w:val="21"/>
                <w:szCs w:val="21"/>
              </w:rPr>
              <w:t>⑵信息安全风险评估：信息调研---方案设计、编制（渗透方式）---渗透测试---分析评估---编制报告。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b w:val="0"/>
                <w:bCs w:val="0"/>
                <w:sz w:val="21"/>
                <w:szCs w:val="21"/>
              </w:rPr>
              <w:t>信息安全技术服务（包含网络安全等级保护测评、信息安全风险评估）</w:t>
            </w:r>
          </w:p>
        </w:tc>
        <w:tc>
          <w:tcPr>
            <w:tcW w:w="2006" w:type="dxa"/>
            <w:gridSpan w:val="3"/>
            <w:vAlign w:val="center"/>
          </w:tcPr>
          <w:p>
            <w:pPr>
              <w:spacing w:line="400" w:lineRule="exact"/>
              <w:rPr>
                <w:rFonts w:ascii="宋体" w:hAnsi="宋体"/>
                <w:b/>
                <w:color w:val="000000"/>
                <w:szCs w:val="21"/>
              </w:rPr>
            </w:pPr>
            <w:bookmarkStart w:id="28" w:name="专业代码"/>
            <w:r>
              <w:rPr>
                <w:b w:val="0"/>
                <w:bCs w:val="0"/>
                <w:sz w:val="21"/>
                <w:szCs w:val="21"/>
              </w:rPr>
              <w:t>33.02.04</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7"/>
        <w:gridCol w:w="1827"/>
        <w:gridCol w:w="655"/>
        <w:gridCol w:w="2136"/>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1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2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5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3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17" w:type="dxa"/>
          </w:tcPr>
          <w:p>
            <w:pPr>
              <w:spacing w:before="40" w:after="40"/>
              <w:rPr>
                <w:rFonts w:eastAsia="黑体"/>
                <w:szCs w:val="21"/>
                <w:lang w:val="de-DE" w:eastAsia="ja-JP"/>
              </w:rPr>
            </w:pPr>
            <w:r>
              <w:rPr>
                <w:rFonts w:ascii="宋体"/>
                <w:b/>
                <w:color w:val="000000"/>
                <w:szCs w:val="21"/>
              </w:rPr>
              <w:t>河北恒讯达信息科技有限公司</w:t>
            </w:r>
            <w:r>
              <w:rPr>
                <w:rFonts w:hint="eastAsia" w:ascii="宋体"/>
                <w:b/>
                <w:color w:val="000000"/>
                <w:szCs w:val="21"/>
                <w:lang w:val="en-US" w:eastAsia="zh-CN"/>
              </w:rPr>
              <w:t>/</w:t>
            </w:r>
            <w:r>
              <w:rPr>
                <w:b w:val="0"/>
                <w:bCs w:val="0"/>
                <w:sz w:val="21"/>
                <w:szCs w:val="21"/>
              </w:rPr>
              <w:t>河北省石家庄市桥西区裕华西路128号乐活大厦B座20层2009室</w:t>
            </w:r>
          </w:p>
        </w:tc>
        <w:tc>
          <w:tcPr>
            <w:tcW w:w="1827" w:type="dxa"/>
          </w:tcPr>
          <w:p>
            <w:pPr>
              <w:spacing w:before="40" w:after="40"/>
              <w:rPr>
                <w:rFonts w:eastAsia="黑体"/>
                <w:szCs w:val="21"/>
                <w:lang w:val="de-DE" w:eastAsia="ja-JP"/>
              </w:rPr>
            </w:pPr>
            <w:r>
              <w:rPr>
                <w:b w:val="0"/>
                <w:bCs w:val="0"/>
                <w:sz w:val="21"/>
                <w:szCs w:val="21"/>
              </w:rPr>
              <w:t>河北省石家庄市桥西区裕华西路128号乐活大厦B座20层2009室</w:t>
            </w:r>
          </w:p>
        </w:tc>
        <w:tc>
          <w:tcPr>
            <w:tcW w:w="655"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136" w:type="dxa"/>
            <w:vAlign w:val="center"/>
          </w:tcPr>
          <w:p>
            <w:pPr>
              <w:pStyle w:val="19"/>
              <w:rPr>
                <w:rFonts w:eastAsia="黑体" w:cs="Arial"/>
                <w:sz w:val="21"/>
                <w:szCs w:val="21"/>
                <w:lang w:val="en-US" w:eastAsia="ja-JP"/>
              </w:rPr>
            </w:pPr>
            <w:bookmarkStart w:id="29" w:name="审核范围"/>
            <w:r>
              <w:rPr>
                <w:b w:val="0"/>
                <w:bCs w:val="0"/>
                <w:sz w:val="21"/>
                <w:szCs w:val="21"/>
              </w:rPr>
              <w:t>信息安全技术服务（包含网络安全等级保护测评、信息安全风险评估）</w:t>
            </w:r>
            <w:bookmarkEnd w:id="29"/>
          </w:p>
        </w:tc>
        <w:tc>
          <w:tcPr>
            <w:tcW w:w="1842"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2018</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29-30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现场测试</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信息调研</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eastAsia="宋体"/>
                <w:color w:val="000000"/>
                <w:szCs w:val="21"/>
                <w:lang w:val="en-US" w:eastAsia="zh-CN"/>
              </w:rPr>
            </w:pPr>
            <w:r>
              <w:rPr>
                <w:rFonts w:hint="eastAsia" w:ascii="宋体" w:hAnsi="宋体"/>
                <w:color w:val="000000"/>
                <w:szCs w:val="21"/>
              </w:rPr>
              <w:t>特种设备管理</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2021-12-</w:t>
            </w:r>
            <w:bookmarkEnd w:id="30"/>
            <w:r>
              <w:rPr>
                <w:rFonts w:hint="eastAsia" w:ascii="宋体"/>
                <w:b/>
                <w:color w:val="000000"/>
                <w:szCs w:val="21"/>
                <w:lang w:val="en-US" w:eastAsia="zh-CN"/>
              </w:rPr>
              <w:t>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p>
        </w:tc>
      </w:tr>
    </w:tbl>
    <w:p>
      <w:pPr>
        <w:spacing w:line="240" w:lineRule="exact"/>
        <w:rPr>
          <w:rFonts w:asci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1" w:name="_GoBack"/>
      <w:r>
        <w:rPr>
          <w:u w:val="single"/>
          <w:lang w:val="en-GB" w:eastAsia="zh-CN"/>
        </w:rPr>
        <w:drawing>
          <wp:anchor distT="0" distB="0" distL="114300" distR="114300" simplePos="0" relativeHeight="251661312" behindDoc="0" locked="0" layoutInCell="1" allowOverlap="1">
            <wp:simplePos x="0" y="0"/>
            <wp:positionH relativeFrom="column">
              <wp:posOffset>1748155</wp:posOffset>
            </wp:positionH>
            <wp:positionV relativeFrom="paragraph">
              <wp:posOffset>250190</wp:posOffset>
            </wp:positionV>
            <wp:extent cx="932180" cy="4489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32180" cy="448945"/>
                    </a:xfrm>
                    <a:prstGeom prst="rect">
                      <a:avLst/>
                    </a:prstGeom>
                    <a:noFill/>
                    <a:ln>
                      <a:noFill/>
                    </a:ln>
                  </pic:spPr>
                </pic:pic>
              </a:graphicData>
            </a:graphic>
          </wp:anchor>
        </w:drawing>
      </w:r>
      <w:bookmarkEnd w:id="31"/>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2021年12月10日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7" o:spid="_x0000_s1027" o:spt="20" style="position:absolute;left:0pt;flip:y;margin-left:21.8pt;margin-top:54.95pt;height:277.3pt;width:450.95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u w:val="single"/>
                <w:lang w:val="en-GB" w:eastAsia="zh-CN"/>
              </w:rPr>
              <w:drawing>
                <wp:anchor distT="0" distB="0" distL="114300" distR="114300" simplePos="0" relativeHeight="251663360" behindDoc="0" locked="0" layoutInCell="1" allowOverlap="1">
                  <wp:simplePos x="0" y="0"/>
                  <wp:positionH relativeFrom="column">
                    <wp:posOffset>565150</wp:posOffset>
                  </wp:positionH>
                  <wp:positionV relativeFrom="paragraph">
                    <wp:posOffset>158115</wp:posOffset>
                  </wp:positionV>
                  <wp:extent cx="932180" cy="4489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32180" cy="44894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05929F5"/>
    <w:rsid w:val="39CE3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2021-12-14T13:43:11Z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