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66"/>
        <w:gridCol w:w="1189"/>
        <w:gridCol w:w="147"/>
        <w:gridCol w:w="1004"/>
        <w:gridCol w:w="671"/>
        <w:gridCol w:w="262"/>
        <w:gridCol w:w="1"/>
        <w:gridCol w:w="762"/>
        <w:gridCol w:w="26"/>
        <w:gridCol w:w="1273"/>
        <w:gridCol w:w="9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江苏润泰银科技股份有限公司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泗阳经济开发区桂林路北侧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江苏省泗阳经济开发区桂林路北侧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许慧宇</w:t>
            </w:r>
            <w:bookmarkEnd w:id="3"/>
          </w:p>
        </w:tc>
        <w:tc>
          <w:tcPr>
            <w:tcW w:w="11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8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13861677390</w:t>
            </w:r>
            <w:bookmarkEnd w:id="4"/>
          </w:p>
        </w:tc>
        <w:tc>
          <w:tcPr>
            <w:tcW w:w="7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xuhuiyu@rtogetherwin.com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46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1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84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7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1256-2021-EnMs</w:t>
            </w:r>
            <w:bookmarkEnd w:id="8"/>
          </w:p>
        </w:tc>
        <w:tc>
          <w:tcPr>
            <w:tcW w:w="118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526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75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适用于汽车配件（橡胶、塑料）密封条制造的能源管理</w:t>
            </w:r>
            <w:bookmarkEnd w:id="20"/>
          </w:p>
        </w:tc>
        <w:tc>
          <w:tcPr>
            <w:tcW w:w="10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RB∕T 114-2014能源管理体系 纯碱、焦化、橡塑制品、制药等化工企业认证要求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午至2021年12月1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午至2021年12月1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2021.12.9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2021.12.9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3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3"/>
                <w:szCs w:val="13"/>
                <w:lang w:val="en-US" w:eastAsia="zh-CN"/>
              </w:rPr>
              <w:t>（其中12:00-13:00午餐）</w:t>
            </w: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采购部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机电科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2021.12.11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（其中12:00-13:00午餐）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管理部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:5.3/6.2/7.2/7.3/7.5/8.1/9.2/10.1 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En:5.3/6.2/6.3/6.4/6.5/6.6/7.4/8.1/9.1.2/10.1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2021.12.12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11:30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财务部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11:30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技术开发部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职责和权限、目标方案、运行控制现场经济运行控制、设计、</w:t>
            </w:r>
            <w:bookmarkStart w:id="30" w:name="_GoBack"/>
            <w:bookmarkEnd w:id="3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7259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235C2"/>
    <w:rsid w:val="10EE4E82"/>
    <w:rsid w:val="1ED326BC"/>
    <w:rsid w:val="1F351E8D"/>
    <w:rsid w:val="2D761499"/>
    <w:rsid w:val="33D55B56"/>
    <w:rsid w:val="5C0D691A"/>
    <w:rsid w:val="71D43FF4"/>
    <w:rsid w:val="78C16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2021-12-16T00:30:11Z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