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90"/>
        <w:gridCol w:w="1119"/>
        <w:gridCol w:w="1414"/>
        <w:gridCol w:w="1289"/>
        <w:gridCol w:w="1504"/>
        <w:gridCol w:w="1491"/>
        <w:gridCol w:w="16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三门新华劳务派遣有限公司</w:t>
            </w:r>
          </w:p>
        </w:tc>
        <w:tc>
          <w:tcPr>
            <w:tcW w:w="149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0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83185</wp:posOffset>
                  </wp:positionV>
                  <wp:extent cx="361315" cy="267970"/>
                  <wp:effectExtent l="0" t="0" r="7620" b="11430"/>
                  <wp:wrapSquare wrapText="bothSides"/>
                  <wp:docPr id="4" name="图片 4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  <w:r>
              <w:rPr>
                <w:rFonts w:hint="eastAsia" w:ascii="宋体"/>
                <w:b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-60960</wp:posOffset>
                  </wp:positionV>
                  <wp:extent cx="309245" cy="169545"/>
                  <wp:effectExtent l="0" t="0" r="8255" b="8255"/>
                  <wp:wrapSquare wrapText="bothSides"/>
                  <wp:docPr id="1" name="图片 1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16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353060</wp:posOffset>
                  </wp:positionV>
                  <wp:extent cx="421005" cy="198120"/>
                  <wp:effectExtent l="0" t="0" r="10795" b="5080"/>
                  <wp:wrapSquare wrapText="bothSides"/>
                  <wp:docPr id="3" name="图片 3" descr="538687608936969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3868760893696987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-18415</wp:posOffset>
                  </wp:positionV>
                  <wp:extent cx="251460" cy="463550"/>
                  <wp:effectExtent l="0" t="0" r="6350" b="2540"/>
                  <wp:wrapSquare wrapText="bothSides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146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陈权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热菜加工销售流程流程：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400" w:firstLineChars="200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菜谱制定→原料采购验收→原料贮存→粗加工→半成品贮存备用→烹制→成品备餐并留样→分餐服务/席间服务→就餐者食用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400" w:firstLineChars="20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大米→淘制→分机蒸制→成品备餐并留样→分餐服务/席间服务→就餐者食用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 w:firstLine="200" w:firstLineChars="100"/>
              <w:jc w:val="both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pacing w:line="240" w:lineRule="auto"/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食品加工、餐具消毒、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</w:t>
            </w:r>
          </w:p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特殊过程：餐具消毒、服务提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油烟排放——使用吸油烟机；含有废水排放——使用隔油池；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火灾——配备消防设施；生活垃圾排放——由市政单位统一处理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触电——安装漏电保护装置；机械伤害——安装联锁装置</w:t>
            </w:r>
          </w:p>
          <w:p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火灾——配备消防设施；油烟排放——使用吸油烟机；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b w:val="0"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240" w:lineRule="auto"/>
              <w:ind w:firstLine="400" w:firstLineChars="200"/>
              <w:jc w:val="left"/>
              <w:rPr>
                <w:rFonts w:hint="eastAsia" w:ascii="宋体" w:hAnsi="宋体"/>
                <w:b w:val="0"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0"/>
              </w:rPr>
              <w:t>原料进货检验、人员健康管理、餐具消毒、烹饪加工、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lang w:val="en-US" w:eastAsia="zh-CN"/>
              </w:rPr>
              <w:t>分餐配送、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</w:rPr>
              <w:t>虫害控制；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b w:val="0"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240" w:lineRule="auto"/>
              <w:ind w:firstLine="200" w:firstLineChars="100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QF: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餐饮服务食品安全操作规范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消毒餐（饮）具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>GB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T 33497-2017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餐饮企业质量管理规范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37489.1-2019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公共场所设计卫生规范 第1部分：总则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37487-2019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37488-2019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公共场所卫生指标及限值要求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等；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污水综合排放标准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等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；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、《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职业病防治法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安全生产条例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56515</wp:posOffset>
                  </wp:positionV>
                  <wp:extent cx="406400" cy="300990"/>
                  <wp:effectExtent l="0" t="0" r="0" b="3175"/>
                  <wp:wrapSquare wrapText="bothSides"/>
                  <wp:docPr id="5" name="图片 5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6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9525</wp:posOffset>
                  </wp:positionV>
                  <wp:extent cx="312420" cy="231775"/>
                  <wp:effectExtent l="0" t="0" r="0" b="10160"/>
                  <wp:wrapSquare wrapText="bothSides"/>
                  <wp:docPr id="6" name="图片 6" descr="31180709590609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118070959060925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b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</wp:posOffset>
                  </wp:positionV>
                  <wp:extent cx="361315" cy="198120"/>
                  <wp:effectExtent l="0" t="0" r="6985" b="5080"/>
                  <wp:wrapSquare wrapText="bothSides"/>
                  <wp:docPr id="7" name="图片 7" descr="671523432158846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715234321588464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606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2021-12-10</w:t>
            </w:r>
            <w:bookmarkStart w:id="7" w:name="_GoBack"/>
            <w:bookmarkEnd w:id="7"/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96DAE"/>
    <w:multiLevelType w:val="singleLevel"/>
    <w:tmpl w:val="3EC96D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68D7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2021-12-11T06:50:32Z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