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1262-2021-E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任丘市鸿通通讯器材有限公司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任丘市鸿通通讯器材有限公司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任丘市麻家坞镇南马庄村东北侧</w:t>
            </w:r>
            <w:bookmarkEnd w:id="6"/>
          </w:p>
        </w:tc>
        <w:tc>
          <w:tcPr>
            <w:tcW w:w="1242" w:type="dxa"/>
            <w:vMerge w:val="restart"/>
            <w:vAlign w:val="center"/>
          </w:tcPr>
          <w:p>
            <w:r>
              <w:rPr>
                <w:rFonts w:hint="eastAsia"/>
              </w:rPr>
              <w:t>邮编</w:t>
            </w:r>
          </w:p>
        </w:tc>
        <w:tc>
          <w:tcPr>
            <w:tcW w:w="1771" w:type="dxa"/>
          </w:tcPr>
          <w:p>
            <w:bookmarkStart w:id="7" w:name="注册邮编"/>
            <w:r>
              <w:t>061000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任丘市麻家坞镇南马庄村东北侧</w:t>
            </w:r>
            <w:bookmarkEnd w:id="8"/>
          </w:p>
        </w:tc>
        <w:tc>
          <w:tcPr>
            <w:tcW w:w="1242" w:type="dxa"/>
            <w:vMerge w:val="continue"/>
            <w:vAlign w:val="center"/>
          </w:tcPr>
          <w:p/>
        </w:tc>
        <w:tc>
          <w:tcPr>
            <w:tcW w:w="1771" w:type="dxa"/>
          </w:tcPr>
          <w:p>
            <w:bookmarkStart w:id="9" w:name="办公邮编"/>
            <w:r>
              <w:t>061000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韩庆伟</w:t>
            </w:r>
            <w:bookmarkEnd w:id="10"/>
          </w:p>
        </w:tc>
        <w:tc>
          <w:tcPr>
            <w:tcW w:w="1313" w:type="dxa"/>
            <w:vAlign w:val="center"/>
          </w:tcPr>
          <w:p>
            <w:r>
              <w:rPr>
                <w:rFonts w:hint="eastAsia"/>
              </w:rPr>
              <w:t>电话.</w:t>
            </w:r>
          </w:p>
        </w:tc>
        <w:tc>
          <w:tcPr>
            <w:tcW w:w="2180" w:type="dxa"/>
            <w:vAlign w:val="center"/>
          </w:tcPr>
          <w:p>
            <w:bookmarkStart w:id="11" w:name="联系人电话"/>
            <w:r>
              <w:t>15131735550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解军威</w:t>
            </w:r>
            <w:bookmarkEnd w:id="13"/>
          </w:p>
        </w:tc>
        <w:tc>
          <w:tcPr>
            <w:tcW w:w="1313" w:type="dxa"/>
            <w:vAlign w:val="center"/>
          </w:tcPr>
          <w:p>
            <w:r>
              <w:rPr>
                <w:rFonts w:hint="eastAsia"/>
              </w:rPr>
              <w:t>管理者代表</w:t>
            </w:r>
          </w:p>
        </w:tc>
        <w:tc>
          <w:tcPr>
            <w:tcW w:w="2180" w:type="dxa"/>
          </w:tcPr>
          <w:p>
            <w:bookmarkStart w:id="14" w:name="管理者代表"/>
            <w:r>
              <w:t>韩庆伟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cs="Times New Roman"/>
                <w:lang w:eastAsia="zh-CN"/>
              </w:rPr>
            </w:pPr>
            <w:r>
              <w:rPr>
                <w:rFonts w:hint="eastAsia" w:ascii="Times New Roman" w:hAnsi="Times New Roman" w:cs="Times New Roman"/>
                <w:lang w:eastAsia="zh-CN"/>
              </w:rPr>
              <w:t>通讯线路铁件：</w:t>
            </w:r>
            <w:r>
              <w:rPr>
                <w:rFonts w:hint="eastAsia" w:ascii="Times New Roman" w:hAnsi="Times New Roman" w:cs="Times New Roman"/>
              </w:rPr>
              <w:t>下料—冲压—表面处理—装配—检验</w:t>
            </w:r>
          </w:p>
          <w:p>
            <w:pPr>
              <w:rPr>
                <w:rFonts w:hint="eastAsia" w:ascii="Times New Roman" w:hAnsi="Times New Roman" w:cs="Times New Roman"/>
              </w:rPr>
            </w:pPr>
            <w:r>
              <w:rPr>
                <w:rFonts w:hint="eastAsia" w:ascii="Times New Roman" w:hAnsi="Times New Roman" w:cs="Times New Roman"/>
                <w:lang w:eastAsia="zh-CN"/>
              </w:rPr>
              <w:t>塑料管材：</w:t>
            </w:r>
            <w:r>
              <w:rPr>
                <w:rFonts w:hint="eastAsia" w:ascii="Times New Roman" w:hAnsi="Times New Roman" w:cs="Times New Roman"/>
              </w:rPr>
              <w:t>配料—搅拌—加热—挤出成型—牵引—切割—检验</w:t>
            </w:r>
          </w:p>
          <w:p>
            <w:pPr>
              <w:rPr>
                <w:rFonts w:hint="eastAsia" w:ascii="Times New Roman" w:hAnsi="Times New Roman" w:cs="Times New Roman"/>
              </w:rPr>
            </w:pPr>
            <w:r>
              <w:rPr>
                <w:rFonts w:hint="eastAsia" w:ascii="Times New Roman" w:hAnsi="Times New Roman" w:cs="Times New Roman"/>
                <w:lang w:eastAsia="zh-CN"/>
              </w:rPr>
              <w:t>通讯箱体：</w:t>
            </w:r>
            <w:r>
              <w:rPr>
                <w:rFonts w:hint="eastAsia" w:ascii="Times New Roman" w:hAnsi="Times New Roman" w:cs="Times New Roman"/>
              </w:rPr>
              <w:t>剪板—冲压—折边—焊接—表面处理—组装—检验</w:t>
            </w:r>
          </w:p>
          <w:p>
            <w:pPr>
              <w:rPr>
                <w:rFonts w:hint="eastAsia" w:ascii="Times New Roman" w:hAnsi="Times New Roman" w:cs="Times New Roman"/>
                <w:lang w:eastAsia="zh-CN"/>
              </w:rPr>
            </w:pPr>
            <w:r>
              <w:rPr>
                <w:rFonts w:hint="eastAsia" w:ascii="Times New Roman" w:hAnsi="Times New Roman" w:cs="Times New Roman"/>
                <w:lang w:eastAsia="zh-CN"/>
              </w:rPr>
              <w:t>井具：</w:t>
            </w:r>
            <w:r>
              <w:rPr>
                <w:rFonts w:hint="eastAsia" w:ascii="Times New Roman" w:hAnsi="Times New Roman" w:cs="Times New Roman"/>
              </w:rPr>
              <w:t>称重备料—搅拌—骨架焊接—压制</w:t>
            </w:r>
            <w:r>
              <w:rPr>
                <w:rFonts w:hint="eastAsia" w:ascii="Times New Roman" w:hAnsi="Times New Roman" w:cs="Times New Roman"/>
                <w:lang w:eastAsia="zh-CN"/>
              </w:rPr>
              <w:t>成型</w:t>
            </w:r>
            <w:r>
              <w:rPr>
                <w:rFonts w:hint="eastAsia" w:ascii="Times New Roman" w:hAnsi="Times New Roman" w:cs="Times New Roman"/>
              </w:rPr>
              <w:t>—出模—检验</w:t>
            </w:r>
          </w:p>
          <w:p>
            <w:r>
              <w:rPr>
                <w:rFonts w:hint="eastAsia" w:ascii="Times New Roman" w:hAnsi="Times New Roman" w:cs="Times New Roman"/>
                <w:lang w:eastAsia="zh-CN"/>
              </w:rPr>
              <w:t>水泥标志桩：</w:t>
            </w:r>
            <w:r>
              <w:rPr>
                <w:rFonts w:hint="eastAsia" w:ascii="Times New Roman" w:hAnsi="Times New Roman" w:cs="Times New Roman"/>
              </w:rPr>
              <w:t>水泥沙石配比</w:t>
            </w:r>
            <w:r>
              <w:rPr>
                <w:rFonts w:hint="eastAsia" w:ascii="Times New Roman" w:hAnsi="Times New Roman" w:cs="Times New Roman"/>
                <w:lang w:val="en-US" w:eastAsia="zh-CN"/>
              </w:rPr>
              <w:t>—</w:t>
            </w:r>
            <w:r>
              <w:rPr>
                <w:rFonts w:hint="eastAsia" w:ascii="Times New Roman" w:hAnsi="Times New Roman" w:cs="Times New Roman"/>
              </w:rPr>
              <w:t>加水搅拌</w:t>
            </w:r>
            <w:r>
              <w:rPr>
                <w:rFonts w:hint="eastAsia" w:ascii="Times New Roman" w:hAnsi="Times New Roman" w:cs="Times New Roman"/>
                <w:lang w:eastAsia="zh-CN"/>
              </w:rPr>
              <w:t>—</w:t>
            </w:r>
            <w:r>
              <w:rPr>
                <w:rFonts w:hint="eastAsia" w:ascii="Times New Roman" w:hAnsi="Times New Roman" w:cs="Times New Roman"/>
              </w:rPr>
              <w:t>装模成型</w:t>
            </w:r>
            <w:r>
              <w:rPr>
                <w:rFonts w:hint="eastAsia" w:ascii="Times New Roman" w:hAnsi="Times New Roman" w:cs="Times New Roman"/>
                <w:lang w:eastAsia="zh-CN"/>
              </w:rPr>
              <w:t>—</w:t>
            </w:r>
            <w:r>
              <w:rPr>
                <w:rFonts w:hint="eastAsia" w:ascii="Times New Roman" w:hAnsi="Times New Roman" w:cs="Times New Roman"/>
              </w:rPr>
              <w:t>蒸养</w:t>
            </w:r>
            <w:r>
              <w:rPr>
                <w:rFonts w:hint="eastAsia" w:ascii="Times New Roman" w:hAnsi="Times New Roman" w:cs="Times New Roman"/>
                <w:lang w:eastAsia="zh-CN"/>
              </w:rPr>
              <w:t>—</w:t>
            </w:r>
            <w:r>
              <w:rPr>
                <w:rFonts w:hint="eastAsia" w:ascii="Times New Roman" w:hAnsi="Times New Roman" w:cs="Times New Roman"/>
              </w:rPr>
              <w:t>脱模</w:t>
            </w:r>
            <w:r>
              <w:rPr>
                <w:rFonts w:hint="eastAsia" w:ascii="Times New Roman" w:hAnsi="Times New Roman" w:cs="Times New Roman"/>
                <w:lang w:eastAsia="zh-CN"/>
              </w:rPr>
              <w:t>—</w:t>
            </w:r>
            <w:r>
              <w:rPr>
                <w:rFonts w:hint="eastAsia" w:ascii="Times New Roman" w:hAnsi="Times New Roman" w:cs="Times New Roman"/>
              </w:rPr>
              <w:t>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2021年12月06日 下午至2021年12月08日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任丘市麻家坞镇南马庄村东北侧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通讯线路铁件、塑料管材、通讯箱体、井盖、水泥标志桩的生产所涉及场所的相关环境管理活动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14.02.01;16.02.06;17.12.01;17.12.05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4-5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lang w:val="en-US" w:eastAsia="zh-CN"/>
              </w:rPr>
              <w:t>期</w:t>
            </w:r>
            <w:r>
              <w:rPr>
                <w:rFonts w:hint="eastAsia"/>
              </w:rPr>
              <w:t>至</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31"/>
        <w:gridCol w:w="591"/>
        <w:gridCol w:w="2546"/>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431" w:type="dxa"/>
            <w:shd w:val="clear" w:color="auto" w:fill="F3F3F3"/>
            <w:tcMar>
              <w:left w:w="57" w:type="dxa"/>
              <w:right w:w="57" w:type="dxa"/>
            </w:tcMar>
          </w:tcPr>
          <w:p>
            <w:r>
              <w:rPr>
                <w:rFonts w:hint="eastAsia"/>
              </w:rPr>
              <w:t>经营场所的地址</w:t>
            </w:r>
          </w:p>
        </w:tc>
        <w:tc>
          <w:tcPr>
            <w:tcW w:w="591" w:type="dxa"/>
            <w:shd w:val="clear" w:color="auto" w:fill="F3F3F3"/>
            <w:tcMar>
              <w:left w:w="57" w:type="dxa"/>
              <w:right w:w="57" w:type="dxa"/>
            </w:tcMar>
          </w:tcPr>
          <w:p>
            <w:r>
              <w:rPr>
                <w:rFonts w:hint="eastAsia"/>
              </w:rPr>
              <w:t>员工人数</w:t>
            </w:r>
          </w:p>
        </w:tc>
        <w:tc>
          <w:tcPr>
            <w:tcW w:w="2546" w:type="dxa"/>
            <w:shd w:val="clear" w:color="auto" w:fill="F3F3F3"/>
            <w:tcMar>
              <w:left w:w="57" w:type="dxa"/>
              <w:right w:w="57" w:type="dxa"/>
            </w:tcMar>
          </w:tcPr>
          <w:p>
            <w:r>
              <w:rPr>
                <w:rFonts w:hint="eastAsia"/>
              </w:rPr>
              <w:t>审核范围（产品和过程）</w:t>
            </w:r>
          </w:p>
          <w:p/>
          <w:p/>
        </w:tc>
        <w:tc>
          <w:tcPr>
            <w:tcW w:w="174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任丘市鸿通通讯器材有限公司</w:t>
            </w:r>
            <w:r>
              <w:rPr>
                <w:rFonts w:hint="eastAsia"/>
                <w:lang w:val="en-US" w:eastAsia="zh-CN"/>
              </w:rPr>
              <w:t>/</w:t>
            </w:r>
            <w:r>
              <w:rPr>
                <w:rFonts w:asciiTheme="minorEastAsia" w:hAnsiTheme="minorEastAsia" w:eastAsiaTheme="minorEastAsia"/>
                <w:sz w:val="20"/>
              </w:rPr>
              <w:t>任丘市麻家坞镇南马庄村东北侧</w:t>
            </w:r>
          </w:p>
        </w:tc>
        <w:tc>
          <w:tcPr>
            <w:tcW w:w="1431" w:type="dxa"/>
          </w:tcPr>
          <w:p>
            <w:pPr>
              <w:rPr>
                <w:lang w:val="de-DE" w:eastAsia="ja-JP"/>
              </w:rPr>
            </w:pPr>
            <w:r>
              <w:rPr>
                <w:rFonts w:asciiTheme="minorEastAsia" w:hAnsiTheme="minorEastAsia" w:eastAsiaTheme="minorEastAsia"/>
                <w:sz w:val="20"/>
              </w:rPr>
              <w:t>任丘市麻家坞镇南马庄村东北侧</w:t>
            </w:r>
          </w:p>
        </w:tc>
        <w:tc>
          <w:tcPr>
            <w:tcW w:w="591" w:type="dxa"/>
            <w:vAlign w:val="center"/>
          </w:tcPr>
          <w:p>
            <w:pPr>
              <w:rPr>
                <w:rFonts w:hint="default" w:eastAsia="宋体"/>
                <w:lang w:val="en-US" w:eastAsia="zh-CN"/>
              </w:rPr>
            </w:pPr>
            <w:r>
              <w:rPr>
                <w:rFonts w:hint="eastAsia"/>
                <w:lang w:val="en-US" w:eastAsia="zh-CN"/>
              </w:rPr>
              <w:t>25</w:t>
            </w:r>
          </w:p>
        </w:tc>
        <w:tc>
          <w:tcPr>
            <w:tcW w:w="2546" w:type="dxa"/>
            <w:vAlign w:val="center"/>
          </w:tcPr>
          <w:p>
            <w:pPr>
              <w:rPr>
                <w:lang w:eastAsia="ja-JP"/>
              </w:rPr>
            </w:pPr>
            <w:r>
              <w:rPr>
                <w:sz w:val="20"/>
              </w:rPr>
              <w:t>通讯线路铁件、塑料管材、通讯箱体、井盖、水泥标志桩的生产所涉及场所的相关环境管理活动</w:t>
            </w:r>
          </w:p>
        </w:tc>
        <w:tc>
          <w:tcPr>
            <w:tcW w:w="1742" w:type="dxa"/>
            <w:vAlign w:val="center"/>
          </w:tcPr>
          <w:p>
            <w:pPr>
              <w:rPr>
                <w:rFonts w:hint="default" w:eastAsia="宋体"/>
                <w:lang w:val="en-US" w:eastAsia="zh-CN"/>
              </w:rPr>
            </w:pPr>
            <w:r>
              <w:rPr>
                <w:rFonts w:hint="eastAsia"/>
                <w:lang w:val="en-US" w:eastAsia="zh-CN"/>
              </w:rPr>
              <w:t>GB/T24001-2016</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tc>
        <w:tc>
          <w:tcPr>
            <w:tcW w:w="2179" w:type="dxa"/>
            <w:vAlign w:val="center"/>
          </w:tcPr>
          <w:p>
            <w:r>
              <w:t>14.02.01,16.02.06,17.12.01,17.12.05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val="en-US" w:eastAsia="zh-CN"/>
        </w:rPr>
        <w:t xml:space="preserve"> </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 xml:space="preserve"> </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136525</wp:posOffset>
                  </wp:positionH>
                  <wp:positionV relativeFrom="paragraph">
                    <wp:posOffset>224790</wp:posOffset>
                  </wp:positionV>
                  <wp:extent cx="910590" cy="4381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0590" cy="43815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r>
              <w:rPr>
                <w:sz w:val="20"/>
              </w:rPr>
              <w:t>通讯线路铁件、塑料管材、通讯箱体、井盖、水泥标志桩的生产所涉及场所的相关环境管理活动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镀锌</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eastAsia="宋体"/>
                <w:u w:val="single"/>
                <w:lang w:eastAsia="zh-CN"/>
              </w:rPr>
            </w:pPr>
            <w:r>
              <w:rPr>
                <w:rFonts w:hint="eastAsia"/>
                <w:sz w:val="21"/>
                <w:szCs w:val="21"/>
                <w:u w:val="none"/>
              </w:rPr>
              <w:t>减少污染、节能降耗</w:t>
            </w:r>
            <w:r>
              <w:rPr>
                <w:rFonts w:hint="eastAsia"/>
                <w:sz w:val="21"/>
                <w:szCs w:val="21"/>
                <w:u w:val="none"/>
                <w:lang w:eastAsia="zh-CN"/>
              </w:rPr>
              <w:t>、</w:t>
            </w:r>
            <w:r>
              <w:rPr>
                <w:rFonts w:hint="eastAsia"/>
                <w:sz w:val="21"/>
                <w:szCs w:val="21"/>
                <w:u w:val="none"/>
              </w:rPr>
              <w:t>遵纪守法、持续改进</w:t>
            </w:r>
            <w:r>
              <w:rPr>
                <w:rFonts w:hint="eastAsia"/>
                <w:sz w:val="21"/>
                <w:szCs w:val="21"/>
                <w:u w:val="non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在策划环境管理体系时，组织确定了需要应对的风险和机遇及应对这些风险和机遇的措施；</w:t>
            </w:r>
          </w:p>
          <w:p>
            <w:pPr>
              <w:pStyle w:val="2"/>
              <w:rPr>
                <w:rFonts w:hint="eastAsia"/>
              </w:rPr>
            </w:pPr>
          </w:p>
          <w:tbl>
            <w:tblPr>
              <w:tblStyle w:val="8"/>
              <w:tblW w:w="83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7"/>
              <w:gridCol w:w="3256"/>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主要的风险或机遇描述</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应对措施</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措施的有效性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适用环境法律法规的识别、收集及宣传不够，相对应公司内部活动及环境因素不够明确，部分员工守法意识淡薄。</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加强识别、收集，定期更新，重要条款予以培训或纳入制度中。</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2"/>
                      <w:sz w:val="20"/>
                      <w:szCs w:val="20"/>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公司环保资质及设施较为齐全，但管理制度尚不够健全；</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建立健全环保制度，严格落实执行</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2"/>
                      <w:sz w:val="20"/>
                      <w:szCs w:val="20"/>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在确定潜在的紧急情况  例如：火灾发生</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制定应急预案，定期培训防火常识，定期防火演练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2"/>
                      <w:sz w:val="20"/>
                      <w:szCs w:val="20"/>
                      <w:u w:val="none"/>
                      <w:lang w:val="en-US" w:eastAsia="zh-CN" w:bidi="ar-SA"/>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辖区区对本企业的环保要求及检查力度相对较低</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建立健全环保制度，严格落实执行</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2"/>
                      <w:sz w:val="20"/>
                      <w:szCs w:val="20"/>
                      <w:u w:val="none"/>
                      <w:lang w:val="en-US" w:eastAsia="zh-CN" w:bidi="ar-S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Times New Roman" w:hAnsi="Times New Roman" w:cs="Times New Roman"/>
              </w:rPr>
            </w:pPr>
            <w:bookmarkStart w:id="34" w:name="_Toc138848262"/>
            <w:r>
              <w:rPr>
                <w:rFonts w:hint="eastAsia" w:ascii="Times New Roman" w:hAnsi="Times New Roman" w:cs="Times New Roman"/>
              </w:rPr>
              <w:t>固体废弃物100％</w:t>
            </w:r>
            <w:bookmarkEnd w:id="34"/>
            <w:r>
              <w:rPr>
                <w:rFonts w:hint="eastAsia" w:ascii="Times New Roman" w:hAnsi="Times New Roman" w:cs="Times New Roman"/>
              </w:rPr>
              <w:t>分类处置；</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污染物的排放达标；</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杜绝火灾事故</w:t>
            </w:r>
          </w:p>
          <w:p>
            <w:pPr>
              <w:shd w:val="clear" w:color="auto" w:fill="EBF1DE" w:themeFill="accent3" w:themeFillTint="32"/>
              <w:rPr>
                <w:rFonts w:hint="eastAsia" w:ascii="Wingdings" w:hAnsi="Wingdings"/>
                <w:lang w:val="en-US" w:eastAsia="zh-CN"/>
              </w:rPr>
            </w:pPr>
            <w:r>
              <w:rPr>
                <w:rFonts w:hint="eastAsia" w:ascii="Wingdings" w:hAnsi="Wingdings"/>
                <w:lang w:val="en-US" w:eastAsia="zh-CN"/>
              </w:rPr>
              <w:t>制定了管理方案，定期考核</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1000平米</w:t>
            </w:r>
            <w:r>
              <w:rPr>
                <w:rFonts w:hint="eastAsia"/>
              </w:rPr>
              <w:t>；库房</w:t>
            </w:r>
            <w:r>
              <w:rPr>
                <w:rFonts w:hint="eastAsia"/>
                <w:lang w:val="en-US" w:eastAsia="zh-CN"/>
              </w:rPr>
              <w:t>400平米</w:t>
            </w:r>
            <w:r>
              <w:rPr>
                <w:rFonts w:hint="eastAsia"/>
              </w:rPr>
              <w:t>；实验室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sz w:val="21"/>
                <w:szCs w:val="21"/>
                <w:lang w:val="en-US" w:eastAsia="zh-CN"/>
              </w:rPr>
              <w:t>冲床、折板机、剪板机、塑料挤出机、电焊机、切割机、压力机</w:t>
            </w:r>
          </w:p>
          <w:p>
            <w:pPr>
              <w:shd w:val="clear" w:color="auto" w:fill="EBF1DE" w:themeFill="accent3" w:themeFillTint="32"/>
              <w:rPr>
                <w:u w:val="single"/>
              </w:rPr>
            </w:pPr>
            <w:r>
              <w:rPr>
                <w:rFonts w:hint="eastAsia"/>
              </w:rPr>
              <w:t>主要环保设备有：</w:t>
            </w:r>
            <w:r>
              <w:rPr>
                <w:rFonts w:hint="eastAsia"/>
                <w:sz w:val="21"/>
                <w:szCs w:val="21"/>
                <w:lang w:val="en-US" w:eastAsia="zh-CN"/>
              </w:rPr>
              <w:t>移动式焊接烟尘净化器、轴流风机</w:t>
            </w:r>
            <w:r>
              <w:rPr>
                <w:rFonts w:hint="eastAsia"/>
                <w:sz w:val="21"/>
                <w:szCs w:val="21"/>
              </w:rPr>
              <w:t>、减震基础</w:t>
            </w:r>
          </w:p>
          <w:p>
            <w:pPr>
              <w:shd w:val="clear" w:color="auto" w:fill="EBF1DE" w:themeFill="accent3" w:themeFillTint="32"/>
            </w:pPr>
            <w:r>
              <w:rPr>
                <w:rFonts w:hint="eastAsia"/>
              </w:rPr>
              <w:t>特种设备：</w:t>
            </w:r>
            <w:r>
              <w:rPr>
                <w:rFonts w:hint="eastAsia" w:ascii="Wingdings" w:hAnsi="Wingdings"/>
              </w:rPr>
              <w:t>¨</w:t>
            </w:r>
            <w:r>
              <w:rPr>
                <w:rFonts w:hint="eastAsia"/>
              </w:rPr>
              <w:t>不适用</w:t>
            </w:r>
          </w:p>
          <w:p>
            <w:pPr>
              <w:shd w:val="clear" w:color="auto" w:fill="EBF1DE" w:themeFill="accent3" w:themeFillTint="32"/>
              <w:ind w:firstLine="1050" w:firstLineChars="500"/>
            </w:pPr>
            <w:r>
              <w:rPr>
                <w:rFonts w:hint="eastAsia"/>
              </w:rPr>
              <w:t>辅助场所：</w:t>
            </w:r>
            <w:r>
              <w:rPr>
                <w:rFonts w:hint="eastAsia" w:ascii="Wingdings" w:hAnsi="Wingdings"/>
              </w:rPr>
              <w:t>¨</w:t>
            </w:r>
            <w:r>
              <w:rPr>
                <w:rFonts w:hint="eastAsia"/>
              </w:rPr>
              <w:t>低压配电室</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焊工</w:t>
            </w:r>
          </w:p>
          <w:p>
            <w:pPr>
              <w:shd w:val="clear" w:color="auto" w:fill="EBF1DE" w:themeFill="accent3"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国家危险废物名录等，已开具不符合报告。</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rPr>
              <w:t>¨</w:t>
            </w:r>
            <w:r>
              <w:rPr>
                <w:rFonts w:hint="eastAsia"/>
              </w:rPr>
              <w:t>运输</w:t>
            </w:r>
            <w:r>
              <w:rPr>
                <w:rFonts w:hint="eastAsia" w:ascii="Wingdings" w:hAnsi="Wingdings"/>
              </w:rPr>
              <w:t>¨</w:t>
            </w:r>
            <w:r>
              <w:rPr>
                <w:rFonts w:hint="eastAsia"/>
              </w:rPr>
              <w:t>其他</w:t>
            </w:r>
            <w:r>
              <w:rPr>
                <w:rFonts w:hint="eastAsia"/>
                <w:lang w:eastAsia="zh-CN"/>
              </w:rPr>
              <w:t>（</w:t>
            </w:r>
            <w:r>
              <w:rPr>
                <w:rFonts w:hint="eastAsia"/>
                <w:lang w:val="en-US" w:eastAsia="zh-CN"/>
              </w:rPr>
              <w:t>镀锌</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sz w:val="21"/>
                      <w:szCs w:val="21"/>
                      <w:lang w:val="en-US" w:eastAsia="zh-CN"/>
                    </w:rPr>
                    <w:t>安装移动式焊接烟尘净化器、车间安装轴流风机和自然风通风</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sz w:val="21"/>
                      <w:szCs w:val="21"/>
                    </w:rPr>
                    <w:t>厂房屏蔽，安装消声器等措施</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sz w:val="21"/>
                      <w:szCs w:val="21"/>
                    </w:rPr>
                    <w:t>分类存放，按可回收和不可回收分别放置，设置分类标识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sz w:val="21"/>
                      <w:szCs w:val="21"/>
                      <w:lang w:val="en-US" w:eastAsia="zh-CN"/>
                    </w:rPr>
                    <w:t>车间安装轴流风机和自然风通风</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配备消防设施；编制应急预案，对员工培训，定期演练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lang w:val="en-US" w:eastAsia="zh-CN"/>
              </w:rPr>
              <w:t>无</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第三方监测</w:t>
            </w:r>
          </w:p>
          <w:p>
            <w:pPr>
              <w:shd w:val="clear" w:color="auto" w:fill="EBF1DE" w:themeFill="accent3" w:themeFillTint="32"/>
            </w:pPr>
          </w:p>
          <w:p>
            <w:pPr>
              <w:shd w:val="clear" w:color="auto" w:fill="EBF1DE" w:themeFill="accent3" w:themeFillTint="32"/>
            </w:pPr>
            <w:r>
              <w:rPr>
                <w:rFonts w:hint="eastAsia"/>
              </w:rPr>
              <w:t>《环境监测报告》编号：</w:t>
            </w:r>
            <w:bookmarkStart w:id="35" w:name="_GoBack"/>
            <w:r>
              <w:rPr>
                <w:rFonts w:hint="eastAsia"/>
                <w:lang w:val="en-US" w:eastAsia="zh-CN"/>
              </w:rPr>
              <w:t>YHJC202106061</w:t>
            </w:r>
            <w:bookmarkEnd w:id="35"/>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8E96D2A"/>
    <w:rsid w:val="769A2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18</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2021-12-08T04:23:23Z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