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val="en-US" w:eastAsia="zh-CN"/>
              </w:rPr>
              <w:object>
                <v:shape id="_x0000_i1025" o:spt="75" type="#_x0000_t75" style="height:20pt;width:3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Times New Roman" w:hAnsi="Times New Roman" w:cs="宋体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Calibri" w:cs="Calibri"/>
              </w:rPr>
              <w:t>±0.0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33</w:t>
            </w:r>
            <w:r>
              <w:rPr>
                <w:rFonts w:hint="eastAsia" w:ascii="Calibri" w:hAnsi="Calibri" w:eastAsia="Calibri" w:cs="Calibri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0.2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hint="eastAsia"/>
                <w:color w:val="auto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(0-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0)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=0.012㎜，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0.03</w:t>
            </w:r>
            <w:r>
              <w:rPr>
                <w:rFonts w:hint="eastAsia" w:ascii="Times New Roman" w:hAnsi="Times New Roman" w:cs="宋体"/>
                <w:color w:val="auto"/>
                <w:highlight w:val="none"/>
                <w:lang w:val="en-US" w:eastAsia="zh-CN"/>
              </w:rPr>
              <w:t>㎜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HX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HX/KC-01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于洪光，培训后上岗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监视统计记录》</w:t>
            </w:r>
            <w:r>
              <w:rPr>
                <w:rFonts w:hint="eastAsia" w:ascii="Times New Roman" w:hAnsi="Times New Roman"/>
                <w:lang w:val="en-US" w:eastAsia="zh-CN"/>
              </w:rPr>
              <w:t>附录 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附录D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752475" cy="333375"/>
            <wp:effectExtent l="0" t="0" r="9525" b="1905"/>
            <wp:docPr id="4" name="图片 4" descr="cd1624945963b37ba72e7a0847a75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1624945963b37ba72e7a0847a75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520CB6"/>
    <w:rsid w:val="698605CD"/>
    <w:rsid w:val="769324DA"/>
    <w:rsid w:val="7D514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3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2021-12-12T05:14:21Z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7D70F454C81C4ADEB8E172E31C6D80C0</vt:lpwstr>
  </property>
</Properties>
</file>