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海南南宝石矿产开采有限公司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姚松柏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《中华人民共和国消防法》最新修订时间为2021年4月29日，但法律法规清单及合规性评价未能识别。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3260725</wp:posOffset>
                  </wp:positionH>
                  <wp:positionV relativeFrom="paragraph">
                    <wp:posOffset>-218440</wp:posOffset>
                  </wp:positionV>
                  <wp:extent cx="229870" cy="792480"/>
                  <wp:effectExtent l="0" t="0" r="7620" b="1143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98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-253365</wp:posOffset>
                  </wp:positionV>
                  <wp:extent cx="2298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98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4139565</wp:posOffset>
                  </wp:positionH>
                  <wp:positionV relativeFrom="paragraph">
                    <wp:posOffset>-221615</wp:posOffset>
                  </wp:positionV>
                  <wp:extent cx="229870" cy="792480"/>
                  <wp:effectExtent l="0" t="0" r="7620" b="11430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98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2022.1.12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B7272"/>
    <w:rsid w:val="22866455"/>
    <w:rsid w:val="2A437D88"/>
    <w:rsid w:val="34E8655D"/>
    <w:rsid w:val="513E0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2022-01-11T09:01:52Z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