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ascii="宋体" w:hAnsi="宋体"/>
          <w:szCs w:val="21"/>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bookmarkStart w:id="4" w:name="EnMS勾选"/>
      <w:r>
        <w:rPr>
          <w:rFonts w:hint="eastAsia"/>
          <w:b/>
          <w:sz w:val="22"/>
          <w:szCs w:val="22"/>
        </w:rPr>
        <w:t>□</w:t>
      </w:r>
      <w:bookmarkEnd w:id="4"/>
      <w:r>
        <w:rPr>
          <w:rFonts w:hint="eastAsia"/>
          <w:b/>
          <w:sz w:val="22"/>
          <w:szCs w:val="22"/>
        </w:rPr>
        <w:t>EnMS</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snapToGrid w:val="0"/>
        <w:spacing w:after="120" w:afterLines="50" w:line="320" w:lineRule="exact"/>
        <w:jc w:val="center"/>
        <w:rPr>
          <w:rFonts w:eastAsia="隶书"/>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340"/>
        <w:gridCol w:w="1119"/>
        <w:gridCol w:w="624"/>
        <w:gridCol w:w="790"/>
        <w:gridCol w:w="554"/>
        <w:gridCol w:w="735"/>
        <w:gridCol w:w="299"/>
        <w:gridCol w:w="1205"/>
        <w:gridCol w:w="190"/>
        <w:gridCol w:w="460"/>
        <w:gridCol w:w="106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50"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4121" w:type="dxa"/>
            <w:gridSpan w:val="6"/>
            <w:tcBorders>
              <w:top w:val="single" w:color="auto" w:sz="8" w:space="0"/>
            </w:tcBorders>
            <w:vAlign w:val="center"/>
          </w:tcPr>
          <w:p>
            <w:pPr>
              <w:snapToGrid w:val="0"/>
              <w:spacing w:line="280" w:lineRule="exact"/>
              <w:jc w:val="center"/>
              <w:rPr>
                <w:b/>
                <w:sz w:val="20"/>
              </w:rPr>
            </w:pPr>
            <w:bookmarkStart w:id="7" w:name="组织名称"/>
            <w:r>
              <w:rPr>
                <w:b/>
                <w:sz w:val="20"/>
              </w:rPr>
              <w:t>北京丙火中天安防技术集团有限公司</w:t>
            </w:r>
            <w:bookmarkEnd w:id="7"/>
          </w:p>
        </w:tc>
        <w:tc>
          <w:tcPr>
            <w:tcW w:w="1855" w:type="dxa"/>
            <w:gridSpan w:val="3"/>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447" w:type="dxa"/>
            <w:gridSpan w:val="2"/>
            <w:tcBorders>
              <w:top w:val="single" w:color="auto" w:sz="8" w:space="0"/>
            </w:tcBorders>
            <w:vAlign w:val="center"/>
          </w:tcPr>
          <w:p>
            <w:pPr>
              <w:snapToGrid w:val="0"/>
              <w:spacing w:line="280" w:lineRule="exact"/>
              <w:ind w:left="52"/>
              <w:jc w:val="center"/>
              <w:rPr>
                <w:b/>
                <w:sz w:val="20"/>
              </w:rPr>
            </w:pPr>
            <w:bookmarkStart w:id="8" w:name="专业代码"/>
            <w:r>
              <w:rPr>
                <w:b/>
                <w:sz w:val="20"/>
              </w:rPr>
              <w:t>E：34.06.00;36.02.05</w:t>
            </w:r>
          </w:p>
          <w:p>
            <w:pPr>
              <w:snapToGrid w:val="0"/>
              <w:spacing w:line="280" w:lineRule="exact"/>
              <w:ind w:left="52"/>
              <w:jc w:val="center"/>
              <w:rPr>
                <w:b/>
                <w:sz w:val="20"/>
              </w:rPr>
            </w:pPr>
            <w:r>
              <w:rPr>
                <w:b/>
                <w:sz w:val="20"/>
              </w:rPr>
              <w:t>Q：34.06.00;36.02.05</w:t>
            </w:r>
          </w:p>
          <w:p>
            <w:pPr>
              <w:snapToGrid w:val="0"/>
              <w:spacing w:line="280" w:lineRule="exact"/>
              <w:ind w:left="52"/>
              <w:jc w:val="center"/>
              <w:rPr>
                <w:b/>
                <w:sz w:val="20"/>
              </w:rPr>
            </w:pPr>
            <w:r>
              <w:rPr>
                <w:b/>
                <w:sz w:val="20"/>
              </w:rPr>
              <w:t>O：34.06.00;36.02.05</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50" w:type="dxa"/>
            <w:gridSpan w:val="2"/>
            <w:vAlign w:val="center"/>
          </w:tcPr>
          <w:p>
            <w:pPr>
              <w:snapToGrid w:val="0"/>
              <w:spacing w:line="280" w:lineRule="exact"/>
              <w:jc w:val="center"/>
              <w:rPr>
                <w:b/>
                <w:sz w:val="22"/>
                <w:szCs w:val="22"/>
              </w:rPr>
            </w:pPr>
            <w:r>
              <w:rPr>
                <w:rFonts w:hint="eastAsia"/>
                <w:b/>
                <w:sz w:val="22"/>
                <w:szCs w:val="22"/>
              </w:rPr>
              <w:t>教师姓名</w:t>
            </w:r>
          </w:p>
        </w:tc>
        <w:tc>
          <w:tcPr>
            <w:tcW w:w="1743"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王伟/李京田</w:t>
            </w:r>
          </w:p>
        </w:tc>
        <w:tc>
          <w:tcPr>
            <w:tcW w:w="1344" w:type="dxa"/>
            <w:gridSpan w:val="2"/>
            <w:vAlign w:val="center"/>
          </w:tcPr>
          <w:p>
            <w:pPr>
              <w:snapToGrid w:val="0"/>
              <w:spacing w:line="280" w:lineRule="exact"/>
              <w:jc w:val="center"/>
              <w:rPr>
                <w:b/>
                <w:sz w:val="22"/>
                <w:szCs w:val="22"/>
              </w:rPr>
            </w:pPr>
            <w:r>
              <w:rPr>
                <w:rFonts w:hint="eastAsia"/>
                <w:b/>
                <w:sz w:val="22"/>
                <w:szCs w:val="22"/>
              </w:rPr>
              <w:t>专业</w:t>
            </w:r>
          </w:p>
        </w:tc>
        <w:tc>
          <w:tcPr>
            <w:tcW w:w="2239" w:type="dxa"/>
            <w:gridSpan w:val="3"/>
            <w:vAlign w:val="center"/>
          </w:tcPr>
          <w:p>
            <w:pPr>
              <w:snapToGrid w:val="0"/>
              <w:spacing w:line="280" w:lineRule="exact"/>
              <w:ind w:left="52"/>
              <w:jc w:val="center"/>
              <w:rPr>
                <w:b/>
                <w:sz w:val="20"/>
              </w:rPr>
            </w:pPr>
            <w:r>
              <w:rPr>
                <w:b/>
                <w:sz w:val="20"/>
              </w:rPr>
              <w:t>E：34.06.00;36.02.05</w:t>
            </w:r>
          </w:p>
          <w:p>
            <w:pPr>
              <w:snapToGrid w:val="0"/>
              <w:spacing w:line="280" w:lineRule="exact"/>
              <w:ind w:left="52"/>
              <w:jc w:val="center"/>
              <w:rPr>
                <w:b/>
                <w:sz w:val="20"/>
              </w:rPr>
            </w:pPr>
            <w:r>
              <w:rPr>
                <w:b/>
                <w:sz w:val="20"/>
              </w:rPr>
              <w:t>Q：34.06.00;36.02.05</w:t>
            </w:r>
          </w:p>
          <w:p>
            <w:pPr>
              <w:snapToGrid w:val="0"/>
              <w:spacing w:line="280" w:lineRule="exact"/>
              <w:jc w:val="center"/>
              <w:rPr>
                <w:b/>
                <w:sz w:val="20"/>
              </w:rPr>
            </w:pPr>
            <w:r>
              <w:rPr>
                <w:b/>
                <w:sz w:val="20"/>
              </w:rPr>
              <w:t>O：34.06.00;36.02.05</w:t>
            </w:r>
          </w:p>
        </w:tc>
        <w:tc>
          <w:tcPr>
            <w:tcW w:w="1719" w:type="dxa"/>
            <w:gridSpan w:val="3"/>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10"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val="en-US" w:eastAsia="zh-CN"/>
              </w:rPr>
              <w:t>李京田</w:t>
            </w:r>
          </w:p>
        </w:tc>
        <w:tc>
          <w:tcPr>
            <w:tcW w:w="1414" w:type="dxa"/>
            <w:gridSpan w:val="2"/>
            <w:vAlign w:val="center"/>
          </w:tcPr>
          <w:p>
            <w:pPr>
              <w:snapToGrid w:val="0"/>
              <w:spacing w:line="360" w:lineRule="exact"/>
              <w:jc w:val="center"/>
              <w:rPr>
                <w:b/>
                <w:sz w:val="20"/>
              </w:rPr>
            </w:pPr>
            <w:r>
              <w:rPr>
                <w:rFonts w:ascii="宋体" w:hAnsi="宋体" w:cs="宋体"/>
                <w:color w:val="000000"/>
                <w:kern w:val="0"/>
                <w:szCs w:val="21"/>
              </w:rPr>
              <w:t>李雅静</w:t>
            </w:r>
          </w:p>
        </w:tc>
        <w:tc>
          <w:tcPr>
            <w:tcW w:w="1289" w:type="dxa"/>
            <w:gridSpan w:val="2"/>
            <w:vAlign w:val="center"/>
          </w:tcPr>
          <w:p>
            <w:pPr>
              <w:snapToGrid w:val="0"/>
              <w:spacing w:line="360" w:lineRule="exact"/>
              <w:jc w:val="center"/>
              <w:rPr>
                <w:b/>
                <w:sz w:val="20"/>
              </w:rPr>
            </w:pPr>
          </w:p>
        </w:tc>
        <w:tc>
          <w:tcPr>
            <w:tcW w:w="1504" w:type="dxa"/>
            <w:gridSpan w:val="2"/>
            <w:vAlign w:val="center"/>
          </w:tcPr>
          <w:p>
            <w:pPr>
              <w:snapToGrid w:val="0"/>
              <w:spacing w:line="360" w:lineRule="exact"/>
              <w:jc w:val="center"/>
              <w:rPr>
                <w:b/>
                <w:sz w:val="20"/>
              </w:rPr>
            </w:pPr>
          </w:p>
        </w:tc>
        <w:tc>
          <w:tcPr>
            <w:tcW w:w="1719" w:type="dxa"/>
            <w:gridSpan w:val="3"/>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50"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3" w:type="dxa"/>
            <w:gridSpan w:val="11"/>
            <w:vAlign w:val="center"/>
          </w:tcPr>
          <w:p>
            <w:pPr>
              <w:ind w:firstLine="480" w:firstLineChars="200"/>
              <w:rPr>
                <w:rFonts w:hint="eastAsia" w:ascii="宋体" w:hAnsi="宋体" w:eastAsia="宋体"/>
                <w:szCs w:val="21"/>
                <w:lang w:val="en-US" w:eastAsia="zh-CN"/>
              </w:rPr>
            </w:pPr>
            <w:r>
              <w:rPr>
                <w:rFonts w:hint="eastAsia" w:ascii="宋体" w:hAnsi="宋体" w:eastAsia="宋体"/>
                <w:szCs w:val="21"/>
                <w:lang w:val="en-US" w:eastAsia="zh-CN"/>
              </w:rPr>
              <w:t>消防设施维保</w:t>
            </w:r>
            <w:r>
              <w:rPr>
                <w:rFonts w:hint="eastAsia" w:ascii="宋体" w:hAnsi="宋体"/>
                <w:szCs w:val="21"/>
                <w:lang w:val="en-US" w:eastAsia="zh-CN"/>
              </w:rPr>
              <w:t>检测</w:t>
            </w:r>
            <w:r>
              <w:rPr>
                <w:rFonts w:hint="eastAsia" w:ascii="宋体" w:hAnsi="宋体" w:eastAsia="宋体"/>
                <w:szCs w:val="21"/>
                <w:lang w:val="en-US" w:eastAsia="zh-CN"/>
              </w:rPr>
              <w:t xml:space="preserve">工艺流程： </w:t>
            </w:r>
          </w:p>
          <w:p>
            <w:pPr>
              <w:ind w:firstLine="48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合作意向→现场勘查(对整体设备检查)→签定合同→甲方提供资料 →编写维保方案→维保准备及人员安全培训→进行维保→调试运行→填 写维保报告书→向甲方反馈问题→甲方委托维修→填写消防设施维修单 →设备维修调试→设备运行验收→建立维护保养档案 </w:t>
            </w:r>
          </w:p>
          <w:p>
            <w:pPr>
              <w:ind w:firstLine="480" w:firstLineChars="200"/>
              <w:rPr>
                <w:rFonts w:hint="eastAsia" w:ascii="宋体" w:hAnsi="宋体" w:eastAsia="宋体"/>
                <w:szCs w:val="21"/>
                <w:lang w:val="en-US" w:eastAsia="zh-CN"/>
              </w:rPr>
            </w:pPr>
            <w:r>
              <w:rPr>
                <w:rFonts w:hint="eastAsia" w:ascii="宋体" w:hAnsi="宋体" w:eastAsia="宋体"/>
                <w:szCs w:val="21"/>
                <w:lang w:val="en-US" w:eastAsia="zh-CN"/>
              </w:rPr>
              <w:t>注：需确认过程为维保过程。</w:t>
            </w:r>
          </w:p>
          <w:p>
            <w:pPr>
              <w:ind w:firstLine="480" w:firstLineChars="200"/>
              <w:rPr>
                <w:rFonts w:hint="eastAsia" w:ascii="宋体" w:hAnsi="宋体" w:eastAsia="宋体"/>
                <w:szCs w:val="21"/>
                <w:lang w:val="en-US" w:eastAsia="zh-CN"/>
              </w:rPr>
            </w:pPr>
          </w:p>
          <w:p>
            <w:pPr>
              <w:ind w:firstLine="48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消防安全评估工艺流程： </w:t>
            </w:r>
          </w:p>
          <w:p>
            <w:pPr>
              <w:ind w:firstLine="48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接收项目→签订委托书→收集资料→踏勘现场→实施检测/评估→编制检测/评估报告→交付→建立评估档案。 </w:t>
            </w:r>
          </w:p>
          <w:p>
            <w:pPr>
              <w:ind w:firstLine="480" w:firstLineChars="200"/>
              <w:rPr>
                <w:rFonts w:hint="eastAsia" w:ascii="宋体" w:hAnsi="宋体" w:eastAsia="宋体"/>
                <w:szCs w:val="21"/>
                <w:lang w:val="en-US" w:eastAsia="zh-CN"/>
              </w:rPr>
            </w:pPr>
            <w:r>
              <w:rPr>
                <w:rFonts w:hint="eastAsia" w:ascii="宋体" w:hAnsi="宋体" w:eastAsia="宋体"/>
                <w:szCs w:val="21"/>
                <w:lang w:val="en-US" w:eastAsia="zh-CN"/>
              </w:rPr>
              <w:t>注：需确认过程为</w:t>
            </w:r>
            <w:r>
              <w:rPr>
                <w:rFonts w:hint="eastAsia" w:ascii="宋体" w:hAnsi="宋体"/>
                <w:szCs w:val="21"/>
                <w:lang w:val="en-US" w:eastAsia="zh-CN"/>
              </w:rPr>
              <w:t>安全</w:t>
            </w:r>
            <w:r>
              <w:rPr>
                <w:rFonts w:hint="eastAsia" w:ascii="宋体" w:hAnsi="宋体" w:eastAsia="宋体"/>
                <w:szCs w:val="21"/>
                <w:lang w:val="en-US" w:eastAsia="zh-CN"/>
              </w:rPr>
              <w:t>评估过程</w:t>
            </w:r>
          </w:p>
          <w:p>
            <w:pPr>
              <w:snapToGrid w:val="0"/>
              <w:spacing w:line="280" w:lineRule="exact"/>
              <w:jc w:val="left"/>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3" w:type="dxa"/>
            <w:gridSpan w:val="11"/>
            <w:vAlign w:val="center"/>
          </w:tcPr>
          <w:p>
            <w:pPr>
              <w:pStyle w:val="12"/>
              <w:jc w:val="left"/>
              <w:rPr>
                <w:rFonts w:hint="eastAsia" w:ascii="宋体" w:hAnsi="宋体" w:eastAsia="宋体" w:cs="宋体"/>
                <w:bCs w:val="0"/>
                <w:color w:val="000000"/>
                <w:spacing w:val="0"/>
                <w:kern w:val="0"/>
                <w:sz w:val="24"/>
                <w:szCs w:val="21"/>
                <w:lang w:val="en-US" w:eastAsia="zh-CN" w:bidi="ar-SA"/>
              </w:rPr>
            </w:pPr>
            <w:r>
              <w:rPr>
                <w:rFonts w:hint="eastAsia" w:ascii="Times New Roman" w:hAnsi="Times New Roman" w:eastAsia="宋体" w:cs="Times New Roman"/>
                <w:bCs w:val="0"/>
                <w:spacing w:val="0"/>
                <w:kern w:val="2"/>
                <w:sz w:val="24"/>
                <w:lang w:val="en-US" w:eastAsia="zh-CN" w:bidi="ar-SA"/>
              </w:rPr>
              <w:t>需</w:t>
            </w:r>
            <w:r>
              <w:rPr>
                <w:rFonts w:hint="eastAsia" w:ascii="宋体" w:hAnsi="宋体" w:eastAsia="宋体" w:cs="宋体"/>
                <w:bCs w:val="0"/>
                <w:color w:val="000000"/>
                <w:spacing w:val="0"/>
                <w:kern w:val="0"/>
                <w:sz w:val="24"/>
                <w:szCs w:val="21"/>
                <w:lang w:val="en-US" w:eastAsia="zh-CN" w:bidi="ar-SA"/>
              </w:rPr>
              <w:t>要控制的有：</w:t>
            </w:r>
          </w:p>
          <w:p>
            <w:pPr>
              <w:ind w:firstLine="480" w:firstLineChars="200"/>
              <w:rPr>
                <w:rFonts w:hint="default" w:ascii="宋体" w:hAnsi="宋体" w:eastAsia="宋体" w:cs="宋体"/>
                <w:bCs w:val="0"/>
                <w:color w:val="000000"/>
                <w:spacing w:val="0"/>
                <w:kern w:val="0"/>
                <w:sz w:val="24"/>
                <w:szCs w:val="21"/>
                <w:lang w:val="en-US" w:eastAsia="zh-CN" w:bidi="ar-SA"/>
              </w:rPr>
            </w:pPr>
            <w:r>
              <w:rPr>
                <w:rFonts w:hint="eastAsia" w:ascii="宋体" w:hAnsi="宋体" w:eastAsia="宋体" w:cs="宋体"/>
                <w:bCs w:val="0"/>
                <w:color w:val="000000"/>
                <w:spacing w:val="0"/>
                <w:kern w:val="0"/>
                <w:sz w:val="24"/>
                <w:szCs w:val="21"/>
                <w:lang w:val="en-US" w:eastAsia="zh-CN" w:bidi="ar-SA"/>
              </w:rPr>
              <w:t>关键过程：</w:t>
            </w:r>
            <w:r>
              <w:rPr>
                <w:rFonts w:hint="eastAsia" w:ascii="宋体" w:hAnsi="宋体" w:eastAsia="宋体"/>
                <w:szCs w:val="21"/>
                <w:lang w:val="en-US" w:eastAsia="zh-CN"/>
              </w:rPr>
              <w:t>维保过程</w:t>
            </w:r>
            <w:r>
              <w:rPr>
                <w:rFonts w:hint="eastAsia" w:ascii="宋体" w:hAnsi="宋体"/>
                <w:szCs w:val="21"/>
                <w:lang w:val="en-US" w:eastAsia="zh-CN"/>
              </w:rPr>
              <w:t xml:space="preserve">  安全</w:t>
            </w:r>
            <w:r>
              <w:rPr>
                <w:rFonts w:hint="eastAsia" w:ascii="宋体" w:hAnsi="宋体" w:eastAsia="宋体"/>
                <w:szCs w:val="21"/>
                <w:lang w:val="en-US" w:eastAsia="zh-CN"/>
              </w:rPr>
              <w:t>评估过程</w:t>
            </w:r>
          </w:p>
          <w:p>
            <w:pPr>
              <w:ind w:firstLine="480" w:firstLineChars="200"/>
              <w:rPr>
                <w:rFonts w:hint="default" w:ascii="宋体" w:hAnsi="宋体" w:eastAsia="宋体" w:cs="宋体"/>
                <w:bCs w:val="0"/>
                <w:color w:val="000000"/>
                <w:spacing w:val="0"/>
                <w:kern w:val="0"/>
                <w:sz w:val="24"/>
                <w:szCs w:val="21"/>
                <w:lang w:val="en-US" w:eastAsia="zh-CN" w:bidi="ar-SA"/>
              </w:rPr>
            </w:pPr>
            <w:r>
              <w:rPr>
                <w:rFonts w:hint="eastAsia" w:ascii="宋体" w:hAnsi="宋体" w:eastAsia="宋体" w:cs="宋体"/>
                <w:bCs w:val="0"/>
                <w:color w:val="000000"/>
                <w:spacing w:val="0"/>
                <w:kern w:val="0"/>
                <w:sz w:val="24"/>
                <w:szCs w:val="21"/>
                <w:lang w:val="en-US" w:eastAsia="zh-CN" w:bidi="ar-SA"/>
              </w:rPr>
              <w:t>特殊过程：</w:t>
            </w:r>
            <w:r>
              <w:rPr>
                <w:rFonts w:hint="eastAsia" w:ascii="宋体" w:hAnsi="宋体" w:eastAsia="宋体"/>
                <w:szCs w:val="21"/>
                <w:lang w:val="en-US" w:eastAsia="zh-CN"/>
              </w:rPr>
              <w:t>维保过程</w:t>
            </w:r>
            <w:r>
              <w:rPr>
                <w:rFonts w:hint="eastAsia" w:ascii="宋体" w:hAnsi="宋体"/>
                <w:szCs w:val="21"/>
                <w:lang w:val="en-US" w:eastAsia="zh-CN"/>
              </w:rPr>
              <w:t xml:space="preserve">  安全</w:t>
            </w:r>
            <w:r>
              <w:rPr>
                <w:rFonts w:hint="eastAsia" w:ascii="宋体" w:hAnsi="宋体" w:eastAsia="宋体"/>
                <w:szCs w:val="21"/>
                <w:lang w:val="en-US" w:eastAsia="zh-CN"/>
              </w:rPr>
              <w:t>评估过程</w:t>
            </w:r>
          </w:p>
          <w:p>
            <w:pPr>
              <w:snapToGrid w:val="0"/>
              <w:spacing w:line="280" w:lineRule="exact"/>
              <w:jc w:val="left"/>
              <w:rPr>
                <w:rFonts w:ascii="Times New Roman" w:hAnsi="Times New Roman" w:eastAsia="宋体" w:cs="Times New Roman"/>
                <w:b/>
                <w:kern w:val="2"/>
                <w:sz w:val="20"/>
                <w:lang w:val="en-US" w:eastAsia="zh-CN" w:bidi="ar-SA"/>
              </w:rPr>
            </w:pPr>
            <w:r>
              <w:rPr>
                <w:rFonts w:hint="eastAsia" w:ascii="宋体" w:hAnsi="宋体" w:eastAsia="宋体" w:cs="宋体"/>
                <w:bCs w:val="0"/>
                <w:color w:val="000000"/>
                <w:spacing w:val="0"/>
                <w:kern w:val="0"/>
                <w:sz w:val="24"/>
                <w:szCs w:val="21"/>
                <w:lang w:val="en-US" w:eastAsia="zh-CN" w:bidi="ar-SA"/>
              </w:rPr>
              <w:t>需求确认内容：</w:t>
            </w:r>
            <w:bookmarkStart w:id="9" w:name="_GoBack"/>
            <w:r>
              <w:rPr>
                <w:rFonts w:hint="eastAsia" w:ascii="宋体" w:hAnsi="宋体" w:eastAsia="宋体" w:cs="宋体"/>
                <w:bCs w:val="0"/>
                <w:color w:val="000000"/>
                <w:spacing w:val="0"/>
                <w:kern w:val="0"/>
                <w:sz w:val="24"/>
                <w:szCs w:val="21"/>
                <w:lang w:val="en-US" w:eastAsia="zh-CN" w:bidi="ar-SA"/>
              </w:rPr>
              <w:t>人员培训、技术服务标准、技术</w:t>
            </w:r>
            <w:r>
              <w:rPr>
                <w:rFonts w:hint="eastAsia" w:ascii="Times New Roman" w:hAnsi="Times New Roman" w:eastAsia="宋体" w:cs="Times New Roman"/>
                <w:bCs w:val="0"/>
                <w:spacing w:val="0"/>
                <w:kern w:val="2"/>
                <w:sz w:val="24"/>
                <w:lang w:val="en-US" w:eastAsia="zh-CN" w:bidi="ar-SA"/>
              </w:rPr>
              <w:t>服务使用设备、技术服务过程评审等</w:t>
            </w:r>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3" w:type="dxa"/>
            <w:gridSpan w:val="11"/>
            <w:vAlign w:val="top"/>
          </w:tcPr>
          <w:p>
            <w:pPr>
              <w:snapToGrid w:val="0"/>
              <w:rPr>
                <w:rFonts w:hint="eastAsia" w:ascii="宋体" w:hAnsi="宋体"/>
                <w:szCs w:val="21"/>
              </w:rPr>
            </w:pPr>
            <w:r>
              <w:rPr>
                <w:rFonts w:hint="eastAsia" w:ascii="宋体" w:hAnsi="宋体"/>
                <w:szCs w:val="21"/>
              </w:rPr>
              <w:t>环境因素：</w:t>
            </w:r>
          </w:p>
          <w:p>
            <w:pPr>
              <w:snapToGrid w:val="0"/>
              <w:ind w:leftChars="-51" w:right="-22" w:rightChars="-9" w:hanging="122" w:hangingChars="51"/>
              <w:rPr>
                <w:rFonts w:hint="eastAsia" w:ascii="宋体" w:hAnsi="宋体"/>
                <w:szCs w:val="21"/>
              </w:rPr>
            </w:pPr>
            <w:r>
              <w:rPr>
                <w:rFonts w:hint="eastAsia" w:ascii="宋体" w:hAnsi="宋体"/>
                <w:szCs w:val="21"/>
              </w:rPr>
              <w:t>公共行政管理和社团组织除其行政办公和生活活动对环境产生影响外，由于该类组织，特别是政府行政管理机构处于相关政策的制定、实施、监督和管理的地位，因此其行政活动对所辖属行政区域（或行业领域）的环境活动所施加的影响超过其本身办公、生活活动所造成的环境影响。因此该类组织应考虑其办公区域及其所辖行政区域（或行业领域）的可施加影响环境因素及控制、治理的措施。其应考虑的主要环境因素为：</w:t>
            </w:r>
          </w:p>
          <w:p>
            <w:pPr>
              <w:snapToGrid w:val="0"/>
              <w:ind w:leftChars="-51" w:right="-22" w:rightChars="-9" w:hanging="122" w:hangingChars="51"/>
              <w:rPr>
                <w:rFonts w:hint="eastAsia" w:ascii="宋体" w:hAnsi="宋体"/>
                <w:szCs w:val="21"/>
              </w:rPr>
            </w:pPr>
            <w:r>
              <w:rPr>
                <w:rFonts w:hint="eastAsia" w:ascii="宋体" w:hAnsi="宋体"/>
                <w:szCs w:val="21"/>
              </w:rPr>
              <w:t>(一)污水排放</w:t>
            </w:r>
          </w:p>
          <w:p>
            <w:pPr>
              <w:snapToGrid w:val="0"/>
              <w:ind w:leftChars="-51" w:right="-22" w:rightChars="-9" w:hanging="122" w:hangingChars="51"/>
              <w:rPr>
                <w:rFonts w:hint="eastAsia"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该组织所在办公区域办公及生活活动所造成的污水排放，污染土地和水体。</w:t>
            </w:r>
          </w:p>
          <w:p>
            <w:pPr>
              <w:snapToGrid w:val="0"/>
              <w:ind w:leftChars="-51" w:right="-22" w:rightChars="-9" w:hanging="122" w:hangingChars="51"/>
              <w:rPr>
                <w:rFonts w:hint="eastAsia" w:ascii="宋体" w:hAnsi="宋体"/>
                <w:szCs w:val="21"/>
              </w:rPr>
            </w:pPr>
            <w:r>
              <w:rPr>
                <w:rFonts w:hint="eastAsia" w:ascii="宋体" w:hAnsi="宋体"/>
                <w:szCs w:val="21"/>
              </w:rPr>
              <w:t>包括：</w:t>
            </w:r>
          </w:p>
          <w:p>
            <w:pPr>
              <w:snapToGrid w:val="0"/>
              <w:ind w:leftChars="-51" w:right="-22" w:rightChars="-9" w:hanging="122" w:hangingChars="51"/>
              <w:rPr>
                <w:rFonts w:hint="eastAsia" w:ascii="宋体" w:hAnsi="宋体"/>
                <w:szCs w:val="21"/>
              </w:rPr>
            </w:pPr>
            <w:r>
              <w:rPr>
                <w:rFonts w:hint="eastAsia" w:ascii="宋体" w:hAnsi="宋体"/>
                <w:szCs w:val="21"/>
              </w:rPr>
              <w:t>A．</w:t>
            </w:r>
            <w:r>
              <w:rPr>
                <w:rFonts w:hint="eastAsia" w:ascii="宋体" w:hAnsi="宋体"/>
                <w:szCs w:val="21"/>
              </w:rPr>
              <w:tab/>
            </w:r>
            <w:r>
              <w:rPr>
                <w:rFonts w:hint="eastAsia" w:ascii="宋体" w:hAnsi="宋体"/>
                <w:szCs w:val="21"/>
              </w:rPr>
              <w:t>卫厕生活污水、洗浴生活污水</w:t>
            </w:r>
          </w:p>
          <w:p>
            <w:pPr>
              <w:snapToGrid w:val="0"/>
              <w:ind w:leftChars="-51" w:right="-22" w:rightChars="-9" w:hanging="122" w:hangingChars="51"/>
              <w:rPr>
                <w:rFonts w:hint="eastAsia" w:ascii="宋体" w:hAnsi="宋体"/>
                <w:szCs w:val="21"/>
              </w:rPr>
            </w:pPr>
            <w:r>
              <w:rPr>
                <w:rFonts w:hint="eastAsia" w:ascii="宋体" w:hAnsi="宋体"/>
                <w:szCs w:val="21"/>
              </w:rPr>
              <w:t>B．</w:t>
            </w:r>
            <w:r>
              <w:rPr>
                <w:rFonts w:hint="eastAsia" w:ascii="宋体" w:hAnsi="宋体"/>
                <w:szCs w:val="21"/>
              </w:rPr>
              <w:tab/>
            </w:r>
            <w:r>
              <w:rPr>
                <w:rFonts w:hint="eastAsia" w:ascii="宋体" w:hAnsi="宋体"/>
                <w:szCs w:val="21"/>
              </w:rPr>
              <w:t>餐饮（食堂、餐厅）的生活污水，包括含油污水</w:t>
            </w:r>
          </w:p>
          <w:p>
            <w:pPr>
              <w:snapToGrid w:val="0"/>
              <w:ind w:leftChars="-51" w:right="-22" w:rightChars="-9" w:hanging="122" w:hangingChars="51"/>
              <w:rPr>
                <w:rFonts w:hint="eastAsia" w:ascii="宋体" w:hAnsi="宋体"/>
                <w:szCs w:val="21"/>
              </w:rPr>
            </w:pPr>
            <w:r>
              <w:rPr>
                <w:rFonts w:hint="eastAsia" w:ascii="宋体" w:hAnsi="宋体"/>
                <w:szCs w:val="21"/>
              </w:rPr>
              <w:t>C．</w:t>
            </w:r>
            <w:r>
              <w:rPr>
                <w:rFonts w:hint="eastAsia" w:ascii="宋体" w:hAnsi="宋体"/>
                <w:szCs w:val="21"/>
              </w:rPr>
              <w:tab/>
            </w:r>
            <w:r>
              <w:rPr>
                <w:rFonts w:hint="eastAsia" w:ascii="宋体" w:hAnsi="宋体"/>
                <w:szCs w:val="21"/>
              </w:rPr>
              <w:t>保洁、洗衣等生活废水</w:t>
            </w:r>
          </w:p>
          <w:p>
            <w:pPr>
              <w:snapToGrid w:val="0"/>
              <w:ind w:leftChars="-51" w:right="-22" w:rightChars="-9" w:hanging="122" w:hangingChars="51"/>
              <w:rPr>
                <w:rFonts w:hint="eastAsia" w:ascii="宋体" w:hAnsi="宋体"/>
                <w:szCs w:val="21"/>
              </w:rPr>
            </w:pPr>
            <w:r>
              <w:rPr>
                <w:rFonts w:hint="eastAsia" w:ascii="宋体" w:hAnsi="宋体"/>
                <w:szCs w:val="21"/>
              </w:rPr>
              <w:t>D．</w:t>
            </w:r>
            <w:r>
              <w:rPr>
                <w:rFonts w:hint="eastAsia" w:ascii="宋体" w:hAnsi="宋体"/>
                <w:szCs w:val="21"/>
              </w:rPr>
              <w:tab/>
            </w:r>
            <w:r>
              <w:rPr>
                <w:rFonts w:hint="eastAsia" w:ascii="宋体" w:hAnsi="宋体"/>
                <w:szCs w:val="21"/>
              </w:rPr>
              <w:t>供热、制冷等系统的废水</w:t>
            </w:r>
          </w:p>
          <w:p>
            <w:pPr>
              <w:snapToGrid w:val="0"/>
              <w:ind w:leftChars="-51" w:right="-22" w:rightChars="-9" w:hanging="122" w:hangingChars="51"/>
              <w:rPr>
                <w:rFonts w:hint="eastAsia" w:ascii="宋体" w:hAnsi="宋体"/>
                <w:szCs w:val="21"/>
              </w:rPr>
            </w:pPr>
            <w:r>
              <w:rPr>
                <w:rFonts w:hint="eastAsia" w:ascii="宋体" w:hAnsi="宋体"/>
                <w:szCs w:val="21"/>
              </w:rPr>
              <w:t>E．</w:t>
            </w:r>
            <w:r>
              <w:rPr>
                <w:rFonts w:hint="eastAsia" w:ascii="宋体" w:hAnsi="宋体"/>
                <w:szCs w:val="21"/>
              </w:rPr>
              <w:tab/>
            </w:r>
            <w:r>
              <w:rPr>
                <w:rFonts w:hint="eastAsia" w:ascii="宋体" w:hAnsi="宋体"/>
                <w:szCs w:val="21"/>
              </w:rPr>
              <w:t>其它生活污水</w:t>
            </w:r>
          </w:p>
          <w:p>
            <w:pPr>
              <w:snapToGrid w:val="0"/>
              <w:ind w:leftChars="-51" w:right="-22" w:rightChars="-9" w:hanging="122" w:hangingChars="51"/>
              <w:rPr>
                <w:rFonts w:hint="eastAsia" w:ascii="宋体" w:hAnsi="宋体"/>
                <w:szCs w:val="21"/>
              </w:rPr>
            </w:pPr>
            <w:r>
              <w:rPr>
                <w:rFonts w:hint="eastAsia" w:ascii="宋体" w:hAnsi="宋体"/>
                <w:szCs w:val="21"/>
              </w:rPr>
              <w:t>2.本行政所辖区域（或行业领域）工商企事业单位、社区等的污水排放，包括生活污水及生产经营活动及其它社会活动中产生的污水排放，如所辖属矿山、化工、机械、冶金、电子及其它制造业产生的工业污水，宾馆、餐饮、学校等服务业产生的污水排放等。由于产业特点和工艺、产品类型的不同，废水排放量及其所含污染物类型有所不同，审核中应注意识别政府机构管理权限范围。</w:t>
            </w:r>
          </w:p>
          <w:p>
            <w:pPr>
              <w:snapToGrid w:val="0"/>
              <w:ind w:leftChars="-51" w:right="-22" w:rightChars="-9" w:hanging="122" w:hangingChars="51"/>
              <w:rPr>
                <w:rFonts w:hint="eastAsia" w:ascii="宋体" w:hAnsi="宋体"/>
                <w:szCs w:val="21"/>
              </w:rPr>
            </w:pPr>
            <w:r>
              <w:rPr>
                <w:rFonts w:hint="eastAsia" w:ascii="宋体" w:hAnsi="宋体"/>
                <w:szCs w:val="21"/>
              </w:rPr>
              <w:t>(二)固体废弃物废弃</w:t>
            </w:r>
          </w:p>
          <w:p>
            <w:pPr>
              <w:snapToGrid w:val="0"/>
              <w:ind w:leftChars="-51" w:right="-22" w:rightChars="-9" w:hanging="122" w:hangingChars="51"/>
              <w:rPr>
                <w:rFonts w:hint="eastAsia" w:ascii="宋体" w:hAnsi="宋体"/>
                <w:szCs w:val="21"/>
              </w:rPr>
            </w:pPr>
            <w:r>
              <w:rPr>
                <w:rFonts w:hint="eastAsia" w:ascii="宋体" w:hAnsi="宋体"/>
                <w:szCs w:val="21"/>
              </w:rPr>
              <w:t>1.组织所在办公区域固体废弃物排放</w:t>
            </w:r>
          </w:p>
          <w:p>
            <w:pPr>
              <w:snapToGrid w:val="0"/>
              <w:ind w:leftChars="-51" w:right="-22" w:rightChars="-9" w:hanging="122" w:hangingChars="51"/>
              <w:rPr>
                <w:rFonts w:hint="eastAsia" w:ascii="宋体" w:hAnsi="宋体"/>
                <w:szCs w:val="21"/>
              </w:rPr>
            </w:pPr>
            <w:r>
              <w:rPr>
                <w:rFonts w:hint="eastAsia" w:ascii="宋体" w:hAnsi="宋体"/>
                <w:szCs w:val="21"/>
              </w:rPr>
              <w:t>a.　生活垃圾，如：果皮纸屑、灰尘、废旧报纸等</w:t>
            </w:r>
          </w:p>
          <w:p>
            <w:pPr>
              <w:snapToGrid w:val="0"/>
              <w:ind w:leftChars="-51" w:right="-22" w:rightChars="-9" w:hanging="122" w:hangingChars="51"/>
              <w:rPr>
                <w:rFonts w:hint="eastAsia" w:ascii="宋体" w:hAnsi="宋体"/>
                <w:szCs w:val="21"/>
              </w:rPr>
            </w:pPr>
            <w:r>
              <w:rPr>
                <w:rFonts w:hint="eastAsia" w:ascii="宋体" w:hAnsi="宋体"/>
                <w:szCs w:val="21"/>
              </w:rPr>
              <w:t>b.　废弃的旧电池，复印机硒鼓、打印机、废色带、墨盒</w:t>
            </w:r>
          </w:p>
          <w:p>
            <w:pPr>
              <w:snapToGrid w:val="0"/>
              <w:ind w:leftChars="-51" w:right="-22" w:rightChars="-9" w:hanging="122" w:hangingChars="51"/>
              <w:rPr>
                <w:rFonts w:hint="eastAsia" w:ascii="宋体" w:hAnsi="宋体"/>
                <w:szCs w:val="21"/>
              </w:rPr>
            </w:pPr>
            <w:r>
              <w:rPr>
                <w:rFonts w:hint="eastAsia" w:ascii="宋体" w:hAnsi="宋体"/>
                <w:szCs w:val="21"/>
              </w:rPr>
              <w:t>c.    锅炉废渣</w:t>
            </w:r>
          </w:p>
          <w:p>
            <w:pPr>
              <w:snapToGrid w:val="0"/>
              <w:ind w:leftChars="-51" w:right="-22" w:rightChars="-9" w:hanging="122" w:hangingChars="51"/>
              <w:rPr>
                <w:rFonts w:hint="eastAsia" w:ascii="宋体" w:hAnsi="宋体"/>
                <w:szCs w:val="21"/>
              </w:rPr>
            </w:pPr>
            <w:r>
              <w:rPr>
                <w:rFonts w:hint="eastAsia" w:ascii="宋体" w:hAnsi="宋体"/>
                <w:szCs w:val="21"/>
              </w:rPr>
              <w:t>d.　废弃的办公用品</w:t>
            </w:r>
          </w:p>
          <w:p>
            <w:pPr>
              <w:snapToGrid w:val="0"/>
              <w:ind w:leftChars="-51" w:right="-22" w:rightChars="-9" w:hanging="122" w:hangingChars="51"/>
              <w:rPr>
                <w:rFonts w:hint="eastAsia" w:ascii="宋体" w:hAnsi="宋体"/>
                <w:szCs w:val="21"/>
              </w:rPr>
            </w:pPr>
            <w:r>
              <w:rPr>
                <w:rFonts w:hint="eastAsia" w:ascii="宋体" w:hAnsi="宋体"/>
                <w:szCs w:val="21"/>
              </w:rPr>
              <w:t>e.　房屋维修等活动产生的废渣土、废弃建筑材料等</w:t>
            </w:r>
          </w:p>
          <w:p>
            <w:pPr>
              <w:snapToGrid w:val="0"/>
              <w:ind w:leftChars="-51" w:right="-22" w:rightChars="-9" w:hanging="122" w:hangingChars="51"/>
              <w:rPr>
                <w:rFonts w:hint="eastAsia" w:ascii="宋体" w:hAnsi="宋体"/>
                <w:szCs w:val="21"/>
              </w:rPr>
            </w:pPr>
            <w:r>
              <w:rPr>
                <w:rFonts w:hint="eastAsia" w:ascii="宋体" w:hAnsi="宋体"/>
                <w:szCs w:val="21"/>
              </w:rPr>
              <w:t>f.</w:t>
            </w:r>
            <w:r>
              <w:rPr>
                <w:rFonts w:hint="eastAsia" w:ascii="宋体" w:hAnsi="宋体"/>
                <w:szCs w:val="21"/>
              </w:rPr>
              <w:tab/>
            </w:r>
            <w:r>
              <w:rPr>
                <w:rFonts w:hint="eastAsia" w:ascii="宋体" w:hAnsi="宋体"/>
                <w:szCs w:val="21"/>
              </w:rPr>
              <w:t>废弃的设备、及设备维修保养后的废弃棉纱、手套、废轮胎及其它附属件等</w:t>
            </w:r>
          </w:p>
          <w:p>
            <w:pPr>
              <w:snapToGrid w:val="0"/>
              <w:ind w:leftChars="-51" w:right="-22" w:rightChars="-9" w:hanging="122" w:hangingChars="51"/>
              <w:rPr>
                <w:rFonts w:hint="eastAsia" w:ascii="宋体" w:hAnsi="宋体"/>
                <w:szCs w:val="21"/>
              </w:rPr>
            </w:pPr>
            <w:r>
              <w:rPr>
                <w:rFonts w:hint="eastAsia" w:ascii="宋体" w:hAnsi="宋体"/>
                <w:szCs w:val="21"/>
              </w:rPr>
              <w:t>g.   废弃的各类包装箱、包装盒等</w:t>
            </w:r>
          </w:p>
          <w:p>
            <w:pPr>
              <w:snapToGrid w:val="0"/>
              <w:ind w:leftChars="-51" w:right="-22" w:rightChars="-9" w:hanging="122" w:hangingChars="51"/>
              <w:rPr>
                <w:rFonts w:hint="eastAsia" w:ascii="宋体" w:hAnsi="宋体"/>
                <w:szCs w:val="21"/>
              </w:rPr>
            </w:pPr>
            <w:r>
              <w:rPr>
                <w:rFonts w:hint="eastAsia" w:ascii="宋体" w:hAnsi="宋体"/>
                <w:szCs w:val="21"/>
              </w:rPr>
              <w:t>h.   其它固体废弃物</w:t>
            </w:r>
          </w:p>
          <w:p>
            <w:pPr>
              <w:snapToGrid w:val="0"/>
              <w:ind w:leftChars="-51" w:right="-22" w:rightChars="-9" w:hanging="122" w:hangingChars="51"/>
              <w:rPr>
                <w:rFonts w:hint="eastAsia" w:ascii="宋体" w:hAnsi="宋体"/>
                <w:szCs w:val="21"/>
              </w:rPr>
            </w:pPr>
            <w:r>
              <w:rPr>
                <w:rFonts w:hint="eastAsia" w:ascii="宋体" w:hAnsi="宋体"/>
                <w:szCs w:val="21"/>
              </w:rPr>
              <w:t>2.行政辖区域（领域）范围内的工商企事业单位、社区的固体废弃物排放及固体废弃物的处置。包括：日常生活产生的固体废弃物，工业生产产生的固体废弃物，包括各类危险固体废弃物，如含铅、汞、镉、砷等的工业废渣、残渣、污泥等危险化学物品，医用及医药垃圾、有机树脂类废弃料、感光材料废弃物等。由于其所辖属区域（领域）的经济发展、产业结构的不同，其固体废弃物的数量、类型不同。</w:t>
            </w:r>
          </w:p>
          <w:p>
            <w:pPr>
              <w:snapToGrid w:val="0"/>
              <w:ind w:leftChars="-51" w:right="-22" w:rightChars="-9" w:hanging="122" w:hangingChars="51"/>
              <w:rPr>
                <w:rFonts w:hint="eastAsia" w:ascii="宋体" w:hAnsi="宋体"/>
                <w:szCs w:val="21"/>
              </w:rPr>
            </w:pPr>
            <w:r>
              <w:rPr>
                <w:rFonts w:hint="eastAsia" w:ascii="宋体" w:hAnsi="宋体"/>
                <w:szCs w:val="21"/>
              </w:rPr>
              <w:t>（三）废气，污染大气</w:t>
            </w:r>
          </w:p>
          <w:p>
            <w:pPr>
              <w:snapToGrid w:val="0"/>
              <w:ind w:leftChars="-51" w:right="-22" w:rightChars="-9" w:hanging="122" w:hangingChars="51"/>
              <w:rPr>
                <w:rFonts w:hint="eastAsia" w:ascii="宋体" w:hAnsi="宋体"/>
                <w:szCs w:val="21"/>
              </w:rPr>
            </w:pPr>
            <w:r>
              <w:rPr>
                <w:rFonts w:hint="eastAsia" w:ascii="宋体" w:hAnsi="宋体"/>
                <w:szCs w:val="21"/>
              </w:rPr>
              <w:t>1．该组织所在办公区域办公及生活活动产生的废气，包括：</w:t>
            </w:r>
          </w:p>
          <w:p>
            <w:pPr>
              <w:snapToGrid w:val="0"/>
              <w:ind w:leftChars="-51" w:right="-22" w:rightChars="-9" w:hanging="122" w:hangingChars="51"/>
              <w:rPr>
                <w:rFonts w:hint="eastAsia" w:ascii="宋体" w:hAnsi="宋体"/>
                <w:szCs w:val="21"/>
              </w:rPr>
            </w:pPr>
            <w:r>
              <w:rPr>
                <w:rFonts w:hint="eastAsia" w:ascii="宋体" w:hAnsi="宋体"/>
                <w:szCs w:val="21"/>
              </w:rPr>
              <w:t>a.   锅炉烟气（尘），燃煤（油）设备排放的烟气</w:t>
            </w:r>
          </w:p>
          <w:p>
            <w:pPr>
              <w:snapToGrid w:val="0"/>
              <w:ind w:leftChars="-51" w:right="-22" w:rightChars="-9" w:hanging="122" w:hangingChars="51"/>
              <w:rPr>
                <w:rFonts w:hint="eastAsia" w:ascii="宋体" w:hAnsi="宋体"/>
                <w:szCs w:val="21"/>
              </w:rPr>
            </w:pPr>
            <w:r>
              <w:rPr>
                <w:rFonts w:hint="eastAsia" w:ascii="宋体" w:hAnsi="宋体"/>
                <w:szCs w:val="21"/>
              </w:rPr>
              <w:t>b.机动车辆尾气</w:t>
            </w:r>
          </w:p>
          <w:p>
            <w:pPr>
              <w:snapToGrid w:val="0"/>
              <w:ind w:leftChars="-51" w:right="-22" w:rightChars="-9" w:hanging="122" w:hangingChars="51"/>
              <w:rPr>
                <w:rFonts w:hint="eastAsia" w:ascii="宋体" w:hAnsi="宋体"/>
                <w:szCs w:val="21"/>
              </w:rPr>
            </w:pPr>
            <w:r>
              <w:rPr>
                <w:rFonts w:hint="eastAsia" w:ascii="宋体" w:hAnsi="宋体"/>
                <w:szCs w:val="21"/>
              </w:rPr>
              <w:t>c.油漆涂料及其它装饰装修材料释放的甲醛、苯、甲苯、二甲苯等挥发性有毒有害气体</w:t>
            </w:r>
          </w:p>
          <w:p>
            <w:pPr>
              <w:snapToGrid w:val="0"/>
              <w:ind w:leftChars="-51" w:right="-22" w:rightChars="-9" w:hanging="122" w:hangingChars="51"/>
              <w:rPr>
                <w:rFonts w:hint="eastAsia" w:ascii="宋体" w:hAnsi="宋体"/>
                <w:szCs w:val="21"/>
              </w:rPr>
            </w:pPr>
            <w:r>
              <w:rPr>
                <w:rFonts w:hint="eastAsia" w:ascii="宋体" w:hAnsi="宋体"/>
                <w:szCs w:val="21"/>
              </w:rPr>
              <w:t>d. 复印机使用过程中产生的废气</w:t>
            </w:r>
          </w:p>
          <w:p>
            <w:pPr>
              <w:snapToGrid w:val="0"/>
              <w:ind w:leftChars="-51" w:right="-22" w:rightChars="-9" w:hanging="122" w:hangingChars="51"/>
              <w:rPr>
                <w:rFonts w:hint="eastAsia" w:ascii="宋体" w:hAnsi="宋体"/>
                <w:szCs w:val="21"/>
              </w:rPr>
            </w:pPr>
            <w:r>
              <w:rPr>
                <w:rFonts w:hint="eastAsia" w:ascii="宋体" w:hAnsi="宋体"/>
                <w:szCs w:val="21"/>
              </w:rPr>
              <w:t>e.  厨房产生的油烟等</w:t>
            </w:r>
          </w:p>
          <w:p>
            <w:pPr>
              <w:snapToGrid w:val="0"/>
              <w:ind w:left="0" w:leftChars="-51" w:right="-22" w:rightChars="-9" w:hanging="122" w:hangingChars="51"/>
              <w:rPr>
                <w:rFonts w:hint="eastAsia" w:ascii="宋体" w:hAnsi="宋体" w:eastAsia="宋体" w:cs="Times New Roman"/>
                <w:kern w:val="2"/>
                <w:sz w:val="24"/>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3" w:type="dxa"/>
            <w:gridSpan w:val="11"/>
            <w:vAlign w:val="center"/>
          </w:tcPr>
          <w:p>
            <w:pPr>
              <w:rPr>
                <w:rFonts w:hint="eastAsia" w:ascii="楷体_GB2312" w:hAnsi="宋体" w:eastAsia="楷体_GB2312"/>
                <w:bCs/>
                <w:color w:val="000000"/>
                <w:szCs w:val="21"/>
              </w:rPr>
            </w:pPr>
            <w:r>
              <w:rPr>
                <w:rFonts w:hint="eastAsia" w:ascii="楷体_GB2312" w:hAnsi="宋体" w:eastAsia="楷体_GB2312"/>
                <w:bCs/>
                <w:color w:val="000000"/>
                <w:szCs w:val="21"/>
              </w:rPr>
              <w:t>主要危险源：</w:t>
            </w:r>
          </w:p>
          <w:p>
            <w:pPr>
              <w:snapToGrid w:val="0"/>
              <w:rPr>
                <w:rFonts w:hint="eastAsia" w:ascii="楷体_GB2312" w:eastAsia="楷体_GB2312"/>
                <w:szCs w:val="21"/>
              </w:rPr>
            </w:pPr>
            <w:r>
              <w:rPr>
                <w:rFonts w:hint="eastAsia" w:ascii="楷体_GB2312" w:hAnsi="宋体" w:eastAsia="楷体_GB2312"/>
                <w:bCs/>
                <w:color w:val="000000"/>
                <w:szCs w:val="21"/>
              </w:rPr>
              <w:t>触电；火灾；办公设备伤害；</w:t>
            </w:r>
            <w:r>
              <w:rPr>
                <w:rFonts w:hint="eastAsia" w:ascii="楷体_GB2312" w:eastAsia="楷体_GB2312"/>
                <w:szCs w:val="21"/>
              </w:rPr>
              <w:t xml:space="preserve"> </w:t>
            </w:r>
          </w:p>
          <w:p>
            <w:pPr>
              <w:tabs>
                <w:tab w:val="left" w:pos="1410"/>
              </w:tabs>
              <w:snapToGrid w:val="0"/>
              <w:ind w:left="-122" w:leftChars="-51" w:right="-122" w:rightChars="-51" w:firstLine="2" w:firstLineChars="1"/>
              <w:rPr>
                <w:rFonts w:hint="eastAsia" w:ascii="楷体_GB2312" w:hAnsi="宋体" w:eastAsia="楷体_GB2312"/>
                <w:bCs/>
                <w:szCs w:val="21"/>
              </w:rPr>
            </w:pPr>
          </w:p>
          <w:p>
            <w:pPr>
              <w:snapToGrid w:val="0"/>
              <w:ind w:left="-122" w:leftChars="-51" w:right="-122" w:rightChars="-51" w:firstLine="2" w:firstLineChars="1"/>
              <w:rPr>
                <w:rFonts w:hint="eastAsia" w:ascii="楷体_GB2312" w:hAnsi="宋体" w:eastAsia="楷体_GB2312"/>
                <w:bCs/>
                <w:color w:val="000000"/>
                <w:szCs w:val="21"/>
              </w:rPr>
            </w:pPr>
          </w:p>
          <w:p>
            <w:pPr>
              <w:snapToGrid w:val="0"/>
              <w:ind w:left="-122" w:leftChars="-51" w:right="-122" w:rightChars="-51" w:firstLine="2" w:firstLineChars="1"/>
              <w:rPr>
                <w:rFonts w:hint="eastAsia" w:ascii="楷体_GB2312" w:hAnsi="宋体" w:eastAsia="楷体_GB2312"/>
                <w:bCs/>
                <w:color w:val="000000"/>
                <w:szCs w:val="21"/>
              </w:rPr>
            </w:pPr>
            <w:r>
              <w:rPr>
                <w:rFonts w:hint="eastAsia" w:ascii="楷体_GB2312" w:hAnsi="宋体" w:eastAsia="楷体_GB2312"/>
                <w:bCs/>
                <w:color w:val="000000"/>
                <w:szCs w:val="21"/>
              </w:rPr>
              <w:t>控制要求：</w:t>
            </w:r>
          </w:p>
          <w:p>
            <w:pPr>
              <w:snapToGrid w:val="0"/>
              <w:spacing w:line="280" w:lineRule="exact"/>
              <w:jc w:val="both"/>
              <w:rPr>
                <w:b/>
                <w:sz w:val="20"/>
              </w:rPr>
            </w:pPr>
            <w:r>
              <w:rPr>
                <w:rFonts w:hint="eastAsia" w:ascii="楷体_GB2312" w:hAnsi="宋体" w:eastAsia="楷体_GB2312"/>
                <w:bCs/>
                <w:color w:val="000000"/>
                <w:szCs w:val="21"/>
              </w:rPr>
              <w:t>设备维护；消防设施；个人防护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50"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3" w:type="dxa"/>
            <w:gridSpan w:val="11"/>
            <w:vAlign w:val="center"/>
          </w:tcPr>
          <w:p>
            <w:pPr>
              <w:snapToGrid w:val="0"/>
              <w:spacing w:line="280" w:lineRule="exact"/>
              <w:jc w:val="left"/>
              <w:rPr>
                <w:b/>
                <w:sz w:val="20"/>
              </w:rPr>
            </w:pPr>
            <w:r>
              <w:rPr>
                <w:rFonts w:hint="eastAsia" w:ascii="宋体" w:hAnsi="宋体" w:eastAsia="宋体" w:cs="宋体"/>
                <w:sz w:val="21"/>
                <w:szCs w:val="21"/>
                <w:lang w:val="en-US" w:eastAsia="zh-CN"/>
              </w:rPr>
              <w:t>建筑消防设施检测技术规程XF503-2004</w:t>
            </w:r>
            <w:r>
              <w:rPr>
                <w:rFonts w:hint="eastAsia" w:ascii="宋体" w:hAnsi="宋体" w:eastAsia="宋体" w:cs="宋体"/>
                <w:sz w:val="21"/>
                <w:szCs w:val="21"/>
              </w:rPr>
              <w:t>；</w:t>
            </w:r>
            <w:r>
              <w:rPr>
                <w:rFonts w:hint="eastAsia" w:ascii="宋体" w:hAnsi="宋体" w:eastAsia="宋体" w:cs="宋体"/>
                <w:sz w:val="21"/>
                <w:szCs w:val="21"/>
                <w:lang w:val="en-US" w:eastAsia="zh-CN"/>
              </w:rPr>
              <w:t>GB50166</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-2019火灾自动报警系统施工及验收标准</w:t>
            </w:r>
            <w:r>
              <w:rPr>
                <w:rFonts w:hint="eastAsia" w:ascii="宋体" w:hAnsi="宋体" w:eastAsia="宋体" w:cs="宋体"/>
                <w:sz w:val="21"/>
                <w:szCs w:val="21"/>
              </w:rPr>
              <w:t>；</w:t>
            </w:r>
            <w:r>
              <w:rPr>
                <w:rFonts w:hint="eastAsia" w:ascii="宋体" w:hAnsi="宋体" w:eastAsia="宋体" w:cs="宋体"/>
                <w:sz w:val="21"/>
                <w:szCs w:val="21"/>
                <w:lang w:val="en-US" w:eastAsia="zh-CN"/>
              </w:rPr>
              <w:t>固定消防炮灭火系统施工与验收规范GB50498</w:t>
            </w:r>
            <w:r>
              <w:rPr>
                <w:rFonts w:hint="eastAsia" w:ascii="宋体" w:hAnsi="宋体" w:eastAsia="宋体" w:cs="宋体"/>
                <w:sz w:val="21"/>
                <w:szCs w:val="21"/>
              </w:rPr>
              <w:t>-200</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机关、团体企事业单位消防安全管理规定</w:t>
            </w:r>
            <w:r>
              <w:rPr>
                <w:rFonts w:hint="eastAsia" w:ascii="宋体" w:hAnsi="宋体" w:eastAsia="宋体" w:cs="宋体"/>
                <w:sz w:val="21"/>
                <w:szCs w:val="21"/>
                <w:lang w:val="en-US" w:eastAsia="zh-CN"/>
              </w:rPr>
              <w:t xml:space="preserve"> 公安部 第61号</w:t>
            </w:r>
            <w:r>
              <w:rPr>
                <w:rFonts w:hint="eastAsia" w:ascii="宋体" w:hAnsi="宋体" w:eastAsia="宋体" w:cs="宋体"/>
                <w:sz w:val="21"/>
                <w:szCs w:val="21"/>
              </w:rPr>
              <w:t>；建筑设计防火规范</w:t>
            </w:r>
            <w:r>
              <w:rPr>
                <w:rFonts w:hint="eastAsia" w:ascii="宋体" w:hAnsi="宋体" w:eastAsia="宋体" w:cs="宋体"/>
                <w:sz w:val="21"/>
                <w:szCs w:val="21"/>
                <w:lang w:val="en-US" w:eastAsia="zh-CN"/>
              </w:rPr>
              <w:t>GB50016-2014</w:t>
            </w:r>
            <w:r>
              <w:rPr>
                <w:rFonts w:hint="eastAsia" w:ascii="宋体" w:hAnsi="宋体" w:eastAsia="宋体" w:cs="宋体"/>
                <w:sz w:val="21"/>
                <w:szCs w:val="21"/>
              </w:rPr>
              <w:t>；</w:t>
            </w:r>
            <w:r>
              <w:rPr>
                <w:rFonts w:hint="eastAsia" w:ascii="宋体" w:hAnsi="宋体" w:eastAsia="宋体" w:cs="宋体"/>
                <w:sz w:val="21"/>
                <w:szCs w:val="21"/>
                <w:lang w:val="en-US" w:eastAsia="zh-CN"/>
              </w:rPr>
              <w:t>XF/T1369-2016</w:t>
            </w:r>
            <w:r>
              <w:rPr>
                <w:rFonts w:hint="eastAsia" w:ascii="宋体" w:hAnsi="宋体" w:eastAsia="宋体" w:cs="宋体"/>
                <w:sz w:val="21"/>
                <w:szCs w:val="21"/>
              </w:rPr>
              <w:t>人员密集场所消防安全评估导则；建筑灭火器配置设计规范</w:t>
            </w:r>
            <w:r>
              <w:rPr>
                <w:rFonts w:hint="eastAsia" w:ascii="宋体" w:hAnsi="宋体" w:eastAsia="宋体" w:cs="宋体"/>
                <w:sz w:val="21"/>
                <w:szCs w:val="21"/>
                <w:lang w:val="en-US" w:eastAsia="zh-CN"/>
              </w:rPr>
              <w:t>GB50140-2005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50"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3" w:type="dxa"/>
            <w:gridSpan w:val="11"/>
            <w:vAlign w:val="center"/>
          </w:tcPr>
          <w:p>
            <w:pPr>
              <w:snapToGrid w:val="0"/>
              <w:spacing w:line="280" w:lineRule="exact"/>
              <w:jc w:val="center"/>
              <w:rPr>
                <w:rFonts w:hint="default" w:eastAsia="宋体"/>
                <w:b/>
                <w:sz w:val="20"/>
                <w:lang w:val="en-US" w:eastAsia="zh-CN"/>
              </w:rPr>
            </w:pPr>
            <w:r>
              <w:rPr>
                <w:rFonts w:hint="eastAsia"/>
                <w:b/>
                <w:sz w:val="20"/>
                <w:lang w:val="en-US" w:eastAsia="zh-CN"/>
              </w:rPr>
              <w:t>定期检验维护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3" w:type="dxa"/>
            <w:gridSpan w:val="11"/>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3"/>
            <w:vAlign w:val="center"/>
          </w:tcPr>
          <w:p>
            <w:pPr>
              <w:snapToGrid w:val="0"/>
              <w:spacing w:line="280" w:lineRule="exact"/>
              <w:jc w:val="center"/>
              <w:rPr>
                <w:b/>
                <w:sz w:val="20"/>
              </w:rPr>
            </w:pPr>
          </w:p>
        </w:tc>
        <w:tc>
          <w:tcPr>
            <w:tcW w:w="2983" w:type="dxa"/>
            <w:gridSpan w:val="5"/>
            <w:vAlign w:val="center"/>
          </w:tcPr>
          <w:p>
            <w:pPr>
              <w:snapToGrid w:val="0"/>
              <w:spacing w:line="280" w:lineRule="exact"/>
              <w:jc w:val="center"/>
              <w:rPr>
                <w:b/>
                <w:sz w:val="20"/>
              </w:rPr>
            </w:pPr>
            <w:r>
              <w:rPr>
                <w:rFonts w:hint="eastAsia"/>
                <w:b/>
                <w:sz w:val="22"/>
                <w:szCs w:val="22"/>
              </w:rPr>
              <w:t>日期</w:t>
            </w:r>
          </w:p>
        </w:tc>
        <w:tc>
          <w:tcPr>
            <w:tcW w:w="2907" w:type="dxa"/>
            <w:gridSpan w:val="3"/>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3"/>
            <w:tcBorders>
              <w:bottom w:val="single" w:color="auto" w:sz="8" w:space="0"/>
            </w:tcBorders>
            <w:vAlign w:val="center"/>
          </w:tcPr>
          <w:p>
            <w:pPr>
              <w:snapToGrid w:val="0"/>
              <w:spacing w:line="280" w:lineRule="exact"/>
              <w:jc w:val="center"/>
              <w:rPr>
                <w:b/>
                <w:sz w:val="20"/>
              </w:rPr>
            </w:pPr>
          </w:p>
        </w:tc>
        <w:tc>
          <w:tcPr>
            <w:tcW w:w="2983" w:type="dxa"/>
            <w:gridSpan w:val="5"/>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3"/>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2021.12.1</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sectPr>
      <w:headerReference r:id="rId3" w:type="default"/>
      <w:pgSz w:w="11906" w:h="16838"/>
      <w:pgMar w:top="1134" w:right="1077" w:bottom="1134" w:left="1077" w:header="454"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-140970</wp:posOffset>
          </wp:positionH>
          <wp:positionV relativeFrom="paragraph">
            <wp:posOffset>-107315</wp:posOffset>
          </wp:positionV>
          <wp:extent cx="485775" cy="485775"/>
          <wp:effectExtent l="19050" t="0" r="9525"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48.4pt;margin-top:11.35pt;height:20.2pt;width:109.3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rPr>
        <w:sz w:val="20"/>
      </w:rPr>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430D5C"/>
    <w:rsid w:val="69FE37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next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48</Words>
  <Characters>275</Characters>
  <Lines>2</Lines>
  <Paragraphs>1</Paragraphs>
  <TotalTime>1</TotalTime>
  <ScaleCrop>false</ScaleCrop>
  <LinksUpToDate>false</LinksUpToDate>
  <CharactersWithSpaces>322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2021-12-06T11:08:47Z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2052-11.1.0.11045</vt:lpwstr>
  </property>
</Properties>
</file>