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Cs/>
          <w:sz w:val="36"/>
          <w:szCs w:val="36"/>
        </w:rPr>
      </w:pPr>
      <w:r>
        <w:rPr>
          <w:rFonts w:hint="eastAsia" w:ascii="楷体" w:hAnsi="楷体" w:eastAsia="楷体"/>
          <w:bCs/>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before="120" w:line="360" w:lineRule="auto"/>
              <w:jc w:val="center"/>
              <w:rPr>
                <w:rFonts w:ascii="宋体" w:hAnsi="宋体" w:cs="宋体"/>
                <w:szCs w:val="21"/>
              </w:rPr>
            </w:pPr>
            <w:r>
              <w:rPr>
                <w:rFonts w:hint="eastAsia" w:ascii="宋体" w:hAnsi="宋体" w:cs="宋体"/>
                <w:szCs w:val="21"/>
              </w:rPr>
              <w:t>过程与活动、</w:t>
            </w:r>
          </w:p>
          <w:p>
            <w:pPr>
              <w:spacing w:line="360" w:lineRule="auto"/>
              <w:jc w:val="center"/>
              <w:rPr>
                <w:rFonts w:ascii="宋体" w:hAnsi="宋体" w:cs="宋体"/>
                <w:szCs w:val="21"/>
              </w:rPr>
            </w:pPr>
            <w:r>
              <w:rPr>
                <w:rFonts w:hint="eastAsia" w:ascii="宋体" w:hAnsi="宋体" w:cs="宋体"/>
                <w:szCs w:val="21"/>
              </w:rPr>
              <w:t>抽样计划</w:t>
            </w:r>
          </w:p>
        </w:tc>
        <w:tc>
          <w:tcPr>
            <w:tcW w:w="1311" w:type="dxa"/>
            <w:vMerge w:val="restart"/>
            <w:vAlign w:val="center"/>
          </w:tcPr>
          <w:p>
            <w:pPr>
              <w:spacing w:line="360" w:lineRule="auto"/>
              <w:rPr>
                <w:rFonts w:ascii="宋体" w:hAnsi="宋体" w:cs="宋体"/>
                <w:szCs w:val="21"/>
              </w:rPr>
            </w:pPr>
            <w:r>
              <w:rPr>
                <w:rFonts w:hint="eastAsia" w:ascii="宋体" w:hAnsi="宋体" w:cs="宋体"/>
                <w:szCs w:val="21"/>
              </w:rPr>
              <w:t>涉及条款</w:t>
            </w:r>
          </w:p>
        </w:tc>
        <w:tc>
          <w:tcPr>
            <w:tcW w:w="10004" w:type="dxa"/>
            <w:vAlign w:val="center"/>
          </w:tcPr>
          <w:p>
            <w:pPr>
              <w:spacing w:line="360" w:lineRule="auto"/>
              <w:rPr>
                <w:rFonts w:ascii="宋体" w:hAnsi="宋体" w:cs="宋体"/>
                <w:szCs w:val="21"/>
              </w:rPr>
            </w:pPr>
            <w:r>
              <w:rPr>
                <w:rFonts w:hint="eastAsia" w:ascii="宋体" w:hAnsi="宋体" w:cs="宋体"/>
                <w:szCs w:val="21"/>
              </w:rPr>
              <w:t>受审核部门：综合管理部           主管领导：吴知虎           陪同人员：沙宏涛</w:t>
            </w:r>
          </w:p>
        </w:tc>
        <w:tc>
          <w:tcPr>
            <w:tcW w:w="1585" w:type="dxa"/>
            <w:vMerge w:val="restart"/>
            <w:vAlign w:val="center"/>
          </w:tcPr>
          <w:p>
            <w:pPr>
              <w:spacing w:line="360" w:lineRule="auto"/>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spacing w:line="360" w:lineRule="auto"/>
              <w:rPr>
                <w:rFonts w:ascii="宋体" w:hAnsi="宋体" w:cs="宋体"/>
                <w:szCs w:val="21"/>
              </w:rPr>
            </w:pPr>
          </w:p>
        </w:tc>
        <w:tc>
          <w:tcPr>
            <w:tcW w:w="1311" w:type="dxa"/>
            <w:vMerge w:val="continue"/>
            <w:vAlign w:val="center"/>
          </w:tcPr>
          <w:p>
            <w:pPr>
              <w:spacing w:line="360" w:lineRule="auto"/>
              <w:rPr>
                <w:rFonts w:ascii="宋体" w:hAnsi="宋体" w:cs="宋体"/>
                <w:szCs w:val="21"/>
              </w:rPr>
            </w:pPr>
          </w:p>
        </w:tc>
        <w:tc>
          <w:tcPr>
            <w:tcW w:w="10004" w:type="dxa"/>
            <w:vAlign w:val="center"/>
          </w:tcPr>
          <w:p>
            <w:pPr>
              <w:spacing w:before="120" w:line="360" w:lineRule="auto"/>
              <w:rPr>
                <w:rFonts w:ascii="宋体" w:hAnsi="宋体" w:cs="宋体"/>
                <w:szCs w:val="21"/>
              </w:rPr>
            </w:pPr>
            <w:r>
              <w:rPr>
                <w:rFonts w:hint="eastAsia" w:ascii="宋体" w:hAnsi="宋体" w:cs="宋体"/>
                <w:szCs w:val="21"/>
              </w:rPr>
              <w:t>审核员：郭力、王凯        审核时间：2021.1</w:t>
            </w:r>
            <w:r>
              <w:rPr>
                <w:rFonts w:hint="eastAsia" w:ascii="宋体" w:hAnsi="宋体" w:cs="宋体"/>
                <w:szCs w:val="21"/>
                <w:lang w:val="en-US" w:eastAsia="zh-CN"/>
              </w:rPr>
              <w:t>2</w:t>
            </w:r>
            <w:r>
              <w:rPr>
                <w:rFonts w:hint="eastAsia" w:ascii="宋体" w:hAnsi="宋体" w:cs="宋体"/>
                <w:szCs w:val="21"/>
              </w:rPr>
              <w:t>.9</w:t>
            </w:r>
          </w:p>
        </w:tc>
        <w:tc>
          <w:tcPr>
            <w:tcW w:w="1585"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Merge w:val="continue"/>
            <w:vAlign w:val="center"/>
          </w:tcPr>
          <w:p>
            <w:pPr>
              <w:spacing w:line="360" w:lineRule="auto"/>
              <w:rPr>
                <w:rFonts w:ascii="宋体" w:hAnsi="宋体" w:cs="宋体"/>
                <w:szCs w:val="21"/>
              </w:rPr>
            </w:pPr>
          </w:p>
        </w:tc>
        <w:tc>
          <w:tcPr>
            <w:tcW w:w="1311" w:type="dxa"/>
            <w:vMerge w:val="continue"/>
            <w:vAlign w:val="center"/>
          </w:tcPr>
          <w:p>
            <w:pPr>
              <w:spacing w:line="360" w:lineRule="auto"/>
              <w:rPr>
                <w:rFonts w:ascii="宋体" w:hAnsi="宋体" w:cs="宋体"/>
                <w:szCs w:val="21"/>
              </w:rPr>
            </w:pPr>
          </w:p>
        </w:tc>
        <w:tc>
          <w:tcPr>
            <w:tcW w:w="10004" w:type="dxa"/>
            <w:vAlign w:val="center"/>
          </w:tcPr>
          <w:p>
            <w:pPr>
              <w:spacing w:line="360" w:lineRule="auto"/>
              <w:rPr>
                <w:rFonts w:ascii="宋体" w:hAnsi="宋体" w:cs="宋体"/>
                <w:szCs w:val="21"/>
              </w:rPr>
            </w:pPr>
            <w:r>
              <w:rPr>
                <w:rFonts w:hint="eastAsia" w:ascii="宋体" w:hAnsi="宋体" w:cs="宋体"/>
                <w:szCs w:val="21"/>
              </w:rPr>
              <w:t>审核条款：</w:t>
            </w:r>
          </w:p>
          <w:p>
            <w:pPr>
              <w:spacing w:line="360" w:lineRule="auto"/>
              <w:rPr>
                <w:rFonts w:ascii="宋体" w:hAnsi="宋体" w:cs="宋体"/>
                <w:szCs w:val="21"/>
              </w:rPr>
            </w:pPr>
            <w:r>
              <w:rPr>
                <w:rFonts w:hint="eastAsia" w:ascii="宋体" w:hAnsi="宋体" w:cs="宋体"/>
                <w:szCs w:val="21"/>
              </w:rPr>
              <w:t>EMS: 5.3组织的岗位、职责和权限、7.2能力、7.3意识、7.5形成文件的信息，6.1.2环境因素、6.1.3合规义务、6.1.4措施的策划、6.2.1环境目标、6.2.2实现环境目标措施的策划、8.1运行策划和控制、8.2应急准备和响应、9.1监视、测量、分析和评价（9.1.1总则、9.1.2合规性评价）、9.2 内部审核、10.2不合格和纠正措施</w:t>
            </w:r>
          </w:p>
        </w:tc>
        <w:tc>
          <w:tcPr>
            <w:tcW w:w="1585"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1809" w:type="dxa"/>
          </w:tcPr>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组织的岗位、职责和权限</w:t>
            </w:r>
          </w:p>
        </w:tc>
        <w:tc>
          <w:tcPr>
            <w:tcW w:w="1311" w:type="dxa"/>
          </w:tcPr>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ind w:firstLine="210" w:firstLineChars="100"/>
              <w:rPr>
                <w:rFonts w:ascii="宋体" w:hAnsi="宋体" w:cs="宋体"/>
                <w:szCs w:val="21"/>
              </w:rPr>
            </w:pPr>
            <w:r>
              <w:rPr>
                <w:rFonts w:hint="eastAsia" w:ascii="宋体" w:hAnsi="宋体" w:cs="宋体"/>
                <w:szCs w:val="21"/>
              </w:rPr>
              <w:t>5.3</w:t>
            </w:r>
          </w:p>
        </w:tc>
        <w:tc>
          <w:tcPr>
            <w:tcW w:w="10004"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部门负责人：</w:t>
            </w:r>
            <w:r>
              <w:rPr>
                <w:rFonts w:hint="eastAsia" w:ascii="宋体" w:hAnsi="宋体" w:cs="宋体"/>
                <w:szCs w:val="21"/>
              </w:rPr>
              <w:t xml:space="preserve">吴知虎  </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主要职责：</w:t>
            </w:r>
            <w:r>
              <w:rPr>
                <w:rFonts w:hint="eastAsia" w:ascii="宋体" w:hAnsi="宋体" w:cs="宋体"/>
                <w:szCs w:val="21"/>
              </w:rPr>
              <w:t>具体负责环境管理体系的建立与实施；组织环境因素识别与评价，确定重要环境因素；组织环境管理体系内审及各种评审；负责获取、识别和更新适用的环境法律法规及其他要求，组织实施对法律法规遵循情况的评价；组织环境管理体系文件的编写和文件的管理；组织制定环境目标、指标和方案，并对完成情况进行监督检查；负责内、外部环境信息交流；负责环境管理体系运行的监督检查，对纠正预措施和预防措施跟踪验证；负责环境管理体系运行有关资料的汇总，为管理评审提供依据</w:t>
            </w:r>
            <w:r>
              <w:rPr>
                <w:rFonts w:hint="eastAsia" w:ascii="宋体" w:hAnsi="宋体" w:cs="宋体"/>
                <w:color w:val="000000" w:themeColor="text1"/>
                <w:szCs w:val="21"/>
                <w:lang w:bidi="ar"/>
              </w:rPr>
              <w:t>等。</w:t>
            </w:r>
          </w:p>
          <w:p>
            <w:pPr>
              <w:spacing w:line="360" w:lineRule="auto"/>
              <w:rPr>
                <w:rFonts w:ascii="宋体" w:hAnsi="宋体" w:cs="宋体"/>
                <w:szCs w:val="21"/>
              </w:rPr>
            </w:pPr>
            <w:r>
              <w:rPr>
                <w:rFonts w:hint="eastAsia" w:ascii="宋体" w:hAnsi="宋体" w:cs="宋体"/>
                <w:color w:val="000000" w:themeColor="text1"/>
                <w:szCs w:val="21"/>
                <w:lang w:bidi="ar"/>
              </w:rPr>
              <w:t>部门职责清晰、明确。综合管理部负责人能基本阐述本部门的主要职责。</w:t>
            </w:r>
          </w:p>
        </w:tc>
        <w:tc>
          <w:tcPr>
            <w:tcW w:w="1585"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tcPr>
          <w:p>
            <w:pPr>
              <w:spacing w:line="360" w:lineRule="auto"/>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能力、意识</w:t>
            </w:r>
          </w:p>
        </w:tc>
        <w:tc>
          <w:tcPr>
            <w:tcW w:w="1311" w:type="dxa"/>
          </w:tcPr>
          <w:p>
            <w:pPr>
              <w:spacing w:line="360" w:lineRule="auto"/>
              <w:rPr>
                <w:rFonts w:ascii="宋体" w:hAnsi="宋体" w:cs="宋体"/>
                <w:szCs w:val="21"/>
              </w:rPr>
            </w:pPr>
          </w:p>
          <w:p>
            <w:pPr>
              <w:spacing w:line="360" w:lineRule="auto"/>
              <w:ind w:firstLine="210" w:firstLineChars="100"/>
              <w:rPr>
                <w:rFonts w:ascii="宋体" w:hAnsi="宋体" w:cs="宋体"/>
                <w:szCs w:val="21"/>
              </w:rPr>
            </w:pPr>
          </w:p>
          <w:p>
            <w:pPr>
              <w:spacing w:line="360" w:lineRule="auto"/>
              <w:ind w:firstLine="210" w:firstLineChars="100"/>
              <w:rPr>
                <w:rFonts w:ascii="宋体" w:hAnsi="宋体" w:cs="宋体"/>
                <w:szCs w:val="21"/>
              </w:rPr>
            </w:pPr>
          </w:p>
          <w:p>
            <w:pPr>
              <w:spacing w:line="360" w:lineRule="auto"/>
              <w:ind w:firstLine="210" w:firstLineChars="100"/>
              <w:rPr>
                <w:rFonts w:ascii="宋体" w:hAnsi="宋体" w:cs="宋体"/>
                <w:szCs w:val="21"/>
              </w:rPr>
            </w:pPr>
            <w:r>
              <w:rPr>
                <w:rFonts w:hint="eastAsia" w:ascii="宋体" w:hAnsi="宋体" w:cs="宋体"/>
                <w:szCs w:val="21"/>
              </w:rPr>
              <w:t>7.2</w:t>
            </w:r>
          </w:p>
          <w:p>
            <w:pPr>
              <w:spacing w:line="360" w:lineRule="auto"/>
              <w:ind w:firstLine="210" w:firstLineChars="100"/>
              <w:rPr>
                <w:rFonts w:ascii="宋体" w:hAnsi="宋体" w:cs="宋体"/>
                <w:szCs w:val="21"/>
              </w:rPr>
            </w:pPr>
            <w:r>
              <w:rPr>
                <w:rFonts w:hint="eastAsia" w:ascii="宋体" w:hAnsi="宋体" w:cs="宋体"/>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themeColor="text1"/>
                <w:szCs w:val="21"/>
              </w:rPr>
              <w:t>公司</w:t>
            </w:r>
            <w:r>
              <w:rPr>
                <w:rFonts w:hint="eastAsia" w:ascii="宋体" w:hAnsi="宋体" w:cs="宋体"/>
                <w:szCs w:val="21"/>
              </w:rPr>
              <w:t>制定了《岗位人员任职要求》，对各部门领导层、综合管理部、生产部、技术质量部、供销部负责人岗位能力工作权限与内容、任职资格（经验知识个人素质、专业技能）的等作出了规定。</w:t>
            </w:r>
          </w:p>
          <w:p>
            <w:pPr>
              <w:spacing w:line="360" w:lineRule="auto"/>
              <w:ind w:firstLine="420" w:firstLineChars="200"/>
              <w:rPr>
                <w:rFonts w:ascii="宋体" w:hAnsi="宋体" w:cs="宋体"/>
                <w:szCs w:val="21"/>
              </w:rPr>
            </w:pPr>
            <w:r>
              <w:rPr>
                <w:rFonts w:hint="eastAsia" w:ascii="宋体" w:hAnsi="宋体" w:cs="宋体"/>
                <w:szCs w:val="21"/>
              </w:rPr>
              <w:t>查看《员工任职能力评价表》，其中包括：总经理、管代、各部门负责人等。能够满足公司环境管理体系运行以及体系覆盖产品生产和服务的需求。</w:t>
            </w:r>
          </w:p>
          <w:p>
            <w:pPr>
              <w:spacing w:line="360" w:lineRule="auto"/>
              <w:ind w:firstLine="420" w:firstLineChars="200"/>
              <w:rPr>
                <w:rFonts w:ascii="宋体" w:hAnsi="宋体" w:cs="宋体"/>
                <w:szCs w:val="21"/>
              </w:rPr>
            </w:pPr>
            <w:r>
              <w:rPr>
                <w:rFonts w:hint="eastAsia" w:ascii="宋体" w:hAnsi="宋体" w:cs="宋体"/>
                <w:szCs w:val="21"/>
              </w:rPr>
              <w:t>查看202</w:t>
            </w:r>
            <w:r>
              <w:rPr>
                <w:rFonts w:hint="eastAsia" w:ascii="宋体" w:hAnsi="宋体" w:cs="宋体"/>
                <w:szCs w:val="21"/>
                <w:lang w:val="en-US" w:eastAsia="zh-CN"/>
              </w:rPr>
              <w:t>1</w:t>
            </w:r>
            <w:r>
              <w:rPr>
                <w:rFonts w:hint="eastAsia" w:ascii="宋体" w:hAnsi="宋体" w:cs="宋体"/>
                <w:szCs w:val="21"/>
              </w:rPr>
              <w:t>年培训计划表，内容包括：环境管理手册和程序文件、环境因素评价及控制程序、目标指标及管理方案等培训。</w:t>
            </w:r>
          </w:p>
          <w:p>
            <w:pPr>
              <w:spacing w:line="360" w:lineRule="auto"/>
              <w:rPr>
                <w:rFonts w:ascii="宋体" w:hAnsi="宋体" w:cs="宋体"/>
                <w:szCs w:val="21"/>
              </w:rPr>
            </w:pPr>
            <w:r>
              <w:rPr>
                <w:rFonts w:hint="eastAsia" w:ascii="宋体" w:hAnsi="宋体" w:cs="宋体"/>
                <w:szCs w:val="21"/>
              </w:rPr>
              <w:t>提供相应的培训记录，及人员签到表和培训效果评价。</w:t>
            </w:r>
          </w:p>
          <w:p>
            <w:pPr>
              <w:spacing w:line="360" w:lineRule="auto"/>
              <w:ind w:firstLine="420" w:firstLineChars="200"/>
              <w:rPr>
                <w:rFonts w:ascii="宋体" w:hAnsi="宋体" w:cs="宋体"/>
                <w:szCs w:val="21"/>
              </w:rPr>
            </w:pPr>
            <w:r>
              <w:rPr>
                <w:rFonts w:hint="eastAsia" w:ascii="宋体" w:hAnsi="宋体" w:cs="宋体"/>
                <w:szCs w:val="21"/>
              </w:rPr>
              <w:t>无特殊工种。</w:t>
            </w:r>
          </w:p>
          <w:p>
            <w:pPr>
              <w:spacing w:line="360" w:lineRule="auto"/>
              <w:ind w:firstLine="420" w:firstLineChars="200"/>
              <w:rPr>
                <w:rFonts w:ascii="宋体" w:hAnsi="宋体" w:cs="宋体"/>
                <w:szCs w:val="21"/>
              </w:rPr>
            </w:pPr>
            <w:r>
              <w:rPr>
                <w:rFonts w:hint="eastAsia" w:ascii="宋体" w:hAnsi="宋体" w:cs="宋体"/>
                <w:szCs w:val="21"/>
              </w:rPr>
              <w:t>吴知虎</w:t>
            </w:r>
            <w:r>
              <w:rPr>
                <w:rFonts w:hint="eastAsia" w:ascii="宋体" w:hAnsi="宋体" w:cs="宋体"/>
                <w:color w:val="000000" w:themeColor="text1"/>
                <w:szCs w:val="21"/>
              </w:rPr>
              <w:t>主任</w:t>
            </w:r>
            <w:r>
              <w:rPr>
                <w:rFonts w:hint="eastAsia" w:ascii="宋体" w:hAnsi="宋体" w:cs="宋体"/>
                <w:szCs w:val="21"/>
              </w:rPr>
              <w:t>介绍到通过培训、面谈等沟通方式，提高了员工的素质，增强了员工的环保意识，员工认识到了自身贡献的重要性。</w:t>
            </w:r>
          </w:p>
          <w:p>
            <w:pPr>
              <w:spacing w:line="360" w:lineRule="auto"/>
              <w:rPr>
                <w:rFonts w:ascii="宋体" w:hAnsi="宋体" w:cs="宋体"/>
                <w:szCs w:val="21"/>
              </w:rPr>
            </w:pPr>
            <w:r>
              <w:rPr>
                <w:rFonts w:hint="eastAsia" w:ascii="宋体" w:hAnsi="宋体" w:cs="宋体"/>
                <w:szCs w:val="21"/>
              </w:rPr>
              <w:t>企业已对人力资源的管理、控制进行了策划，并已实施控制，针对体系文件的系统学习进行了交流。</w:t>
            </w:r>
          </w:p>
        </w:tc>
        <w:tc>
          <w:tcPr>
            <w:tcW w:w="1585"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tcPr>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形成文件的信息</w:t>
            </w:r>
          </w:p>
        </w:tc>
        <w:tc>
          <w:tcPr>
            <w:tcW w:w="1311" w:type="dxa"/>
          </w:tcPr>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7.5</w:t>
            </w:r>
          </w:p>
          <w:p>
            <w:pPr>
              <w:spacing w:line="360" w:lineRule="auto"/>
              <w:rPr>
                <w:rFonts w:ascii="宋体" w:hAnsi="宋体" w:cs="宋体"/>
                <w:szCs w:val="21"/>
              </w:rPr>
            </w:pPr>
          </w:p>
        </w:tc>
        <w:tc>
          <w:tcPr>
            <w:tcW w:w="10004" w:type="dxa"/>
          </w:tcPr>
          <w:p>
            <w:pPr>
              <w:spacing w:line="360" w:lineRule="auto"/>
              <w:rPr>
                <w:rFonts w:ascii="宋体" w:hAnsi="宋体" w:cs="宋体"/>
                <w:szCs w:val="21"/>
              </w:rPr>
            </w:pPr>
            <w:r>
              <w:rPr>
                <w:rFonts w:hint="eastAsia" w:ascii="宋体" w:hAnsi="宋体" w:cs="宋体"/>
                <w:szCs w:val="21"/>
              </w:rPr>
              <w:t xml:space="preserve">吴知虎介绍：企业根据公司建立了管理体系的要求及其体系覆盖范围、企业员工的文化水平、各过程的控制难易程度、企业的实际情况建立了管理体系，企业环境管理体系文件主要包括： </w:t>
            </w:r>
          </w:p>
          <w:p>
            <w:pPr>
              <w:spacing w:line="360" w:lineRule="auto"/>
              <w:rPr>
                <w:rFonts w:ascii="宋体" w:hAnsi="宋体" w:cs="宋体"/>
                <w:szCs w:val="21"/>
              </w:rPr>
            </w:pPr>
            <w:r>
              <w:rPr>
                <w:rFonts w:hint="eastAsia" w:ascii="宋体" w:hAnsi="宋体" w:cs="宋体"/>
                <w:szCs w:val="21"/>
              </w:rPr>
              <w:t>环境管理体系手册、程序文件、环境体系过程所需体系有效运行所需管理制度，文件经总经理沙黑成批准，于2019年5月6日发布实施，运行</w:t>
            </w:r>
            <w:r>
              <w:rPr>
                <w:rFonts w:hint="eastAsia" w:ascii="宋体" w:hAnsi="宋体" w:cs="宋体"/>
                <w:szCs w:val="21"/>
                <w:lang w:val="en-US" w:eastAsia="zh-CN"/>
              </w:rPr>
              <w:t>2</w:t>
            </w:r>
            <w:r>
              <w:rPr>
                <w:rFonts w:hint="eastAsia" w:ascii="宋体" w:hAnsi="宋体" w:cs="宋体"/>
                <w:szCs w:val="21"/>
              </w:rPr>
              <w:t>年未发生变化。</w:t>
            </w:r>
          </w:p>
          <w:p>
            <w:pPr>
              <w:spacing w:line="360" w:lineRule="auto"/>
              <w:rPr>
                <w:rFonts w:ascii="宋体" w:hAnsi="宋体" w:cs="宋体"/>
                <w:szCs w:val="21"/>
              </w:rPr>
            </w:pPr>
            <w:r>
              <w:rPr>
                <w:rFonts w:hint="eastAsia" w:ascii="宋体" w:hAnsi="宋体" w:cs="宋体"/>
                <w:szCs w:val="21"/>
              </w:rPr>
              <w:t>提供了《法律法规清单》列入了相关机械加工、锻造生产的质量、安全、环境法规外来文件，并形成文件的信息的控制。对以上进行识别、收集。</w:t>
            </w:r>
          </w:p>
          <w:p>
            <w:pPr>
              <w:spacing w:line="360" w:lineRule="auto"/>
              <w:rPr>
                <w:rFonts w:ascii="宋体" w:hAnsi="宋体" w:cs="宋体"/>
                <w:szCs w:val="21"/>
              </w:rPr>
            </w:pPr>
            <w:r>
              <w:rPr>
                <w:rFonts w:hint="eastAsia" w:ascii="宋体" w:hAnsi="宋体" w:cs="宋体"/>
                <w:szCs w:val="21"/>
              </w:rPr>
              <w:t>由综合管理部负责通过到主管部门、网上收集、标准发布部门进行购买，并对外来文件的识别、跟踪、控制。查到“记录清单”，有编号、保存年限、保存部门的要求。</w:t>
            </w:r>
          </w:p>
          <w:p>
            <w:pPr>
              <w:spacing w:line="360" w:lineRule="auto"/>
              <w:ind w:firstLine="420" w:firstLineChars="200"/>
              <w:rPr>
                <w:rFonts w:ascii="宋体" w:hAnsi="宋体" w:cs="宋体"/>
                <w:szCs w:val="21"/>
              </w:rPr>
            </w:pPr>
            <w:r>
              <w:rPr>
                <w:rFonts w:hint="eastAsia" w:ascii="宋体" w:hAnsi="宋体" w:cs="宋体"/>
                <w:szCs w:val="21"/>
              </w:rPr>
              <w:t>抽查培训计划、目标指标统计表、危险废物台账、内审报告记录填写清楚，签字明确，标识清楚，易于检索。未出现更改、借阅、处置等情况。</w:t>
            </w:r>
          </w:p>
          <w:p>
            <w:pPr>
              <w:spacing w:line="360" w:lineRule="auto"/>
              <w:rPr>
                <w:rFonts w:ascii="宋体" w:hAnsi="宋体" w:cs="宋体"/>
                <w:szCs w:val="21"/>
              </w:rPr>
            </w:pPr>
            <w:r>
              <w:rPr>
                <w:rFonts w:hint="eastAsia" w:ascii="宋体" w:hAnsi="宋体" w:cs="宋体"/>
                <w:szCs w:val="21"/>
              </w:rPr>
              <w:t>公司统一进行储存在资料室柜，记录保存在保护良好，自体系运行以来尚未处理。</w:t>
            </w:r>
          </w:p>
          <w:p>
            <w:pPr>
              <w:spacing w:line="360" w:lineRule="auto"/>
              <w:rPr>
                <w:rFonts w:ascii="宋体" w:hAnsi="宋体" w:cs="宋体"/>
                <w:szCs w:val="21"/>
              </w:rPr>
            </w:pPr>
            <w:r>
              <w:rPr>
                <w:rFonts w:hint="eastAsia" w:ascii="宋体" w:hAnsi="宋体" w:cs="宋体"/>
                <w:szCs w:val="21"/>
              </w:rPr>
              <w:t xml:space="preserve">   目前尚无记录作废情况发生。</w:t>
            </w:r>
          </w:p>
        </w:tc>
        <w:tc>
          <w:tcPr>
            <w:tcW w:w="1585"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center"/>
          </w:tcPr>
          <w:p>
            <w:pPr>
              <w:spacing w:line="360" w:lineRule="auto"/>
              <w:rPr>
                <w:rFonts w:ascii="宋体" w:hAnsi="宋体" w:cs="宋体"/>
                <w:szCs w:val="21"/>
              </w:rPr>
            </w:pPr>
            <w:r>
              <w:rPr>
                <w:rFonts w:hint="eastAsia" w:ascii="宋体" w:hAnsi="宋体" w:cs="宋体"/>
                <w:szCs w:val="21"/>
              </w:rPr>
              <w:t>目标</w:t>
            </w:r>
          </w:p>
        </w:tc>
        <w:tc>
          <w:tcPr>
            <w:tcW w:w="1311" w:type="dxa"/>
            <w:vAlign w:val="center"/>
          </w:tcPr>
          <w:p>
            <w:pPr>
              <w:tabs>
                <w:tab w:val="left" w:pos="6597"/>
              </w:tabs>
              <w:spacing w:line="360" w:lineRule="auto"/>
              <w:rPr>
                <w:rFonts w:ascii="宋体" w:hAnsi="宋体" w:cs="宋体"/>
                <w:szCs w:val="21"/>
              </w:rPr>
            </w:pPr>
            <w:r>
              <w:rPr>
                <w:rFonts w:hint="eastAsia" w:ascii="宋体" w:hAnsi="宋体" w:cs="宋体"/>
                <w:szCs w:val="21"/>
              </w:rPr>
              <w:t>6.2</w:t>
            </w:r>
          </w:p>
        </w:tc>
        <w:tc>
          <w:tcPr>
            <w:tcW w:w="10004" w:type="dxa"/>
          </w:tcPr>
          <w:p>
            <w:pPr>
              <w:spacing w:line="360" w:lineRule="auto"/>
              <w:rPr>
                <w:rFonts w:ascii="宋体" w:hAnsi="宋体" w:cs="宋体"/>
                <w:szCs w:val="21"/>
              </w:rPr>
            </w:pPr>
            <w:r>
              <w:rPr>
                <w:rFonts w:hint="eastAsia" w:ascii="宋体" w:hAnsi="宋体" w:cs="宋体"/>
                <w:szCs w:val="21"/>
              </w:rPr>
              <w:t>查到公司的环境目标</w:t>
            </w:r>
          </w:p>
          <w:p>
            <w:pPr>
              <w:autoSpaceDE w:val="0"/>
              <w:autoSpaceDN w:val="0"/>
              <w:spacing w:line="360" w:lineRule="auto"/>
              <w:rPr>
                <w:rFonts w:ascii="宋体" w:hAnsi="宋体" w:cs="宋体"/>
                <w:szCs w:val="21"/>
              </w:rPr>
            </w:pPr>
            <w:r>
              <w:rPr>
                <w:rFonts w:hint="eastAsia" w:ascii="宋体" w:hAnsi="宋体" w:cs="宋体"/>
                <w:szCs w:val="21"/>
              </w:rPr>
              <w:t>a）无重大环境污染事故；b）火灾事故为零；c）环境影响投诉次数为零；</w:t>
            </w:r>
          </w:p>
          <w:p>
            <w:pPr>
              <w:autoSpaceDE w:val="0"/>
              <w:autoSpaceDN w:val="0"/>
              <w:spacing w:line="360" w:lineRule="auto"/>
              <w:rPr>
                <w:rFonts w:ascii="宋体" w:hAnsi="宋体" w:cs="宋体"/>
                <w:szCs w:val="21"/>
              </w:rPr>
            </w:pPr>
            <w:r>
              <w:rPr>
                <w:rFonts w:hint="eastAsia" w:ascii="宋体" w:hAnsi="宋体" w:cs="宋体"/>
                <w:szCs w:val="21"/>
              </w:rPr>
              <w:t>d）固体废弃物的分类处理率为100%。</w:t>
            </w:r>
          </w:p>
          <w:p>
            <w:pPr>
              <w:autoSpaceDE w:val="0"/>
              <w:autoSpaceDN w:val="0"/>
              <w:spacing w:line="360" w:lineRule="auto"/>
              <w:rPr>
                <w:rFonts w:ascii="宋体" w:hAnsi="宋体" w:cs="宋体"/>
                <w:szCs w:val="21"/>
              </w:rPr>
            </w:pPr>
            <w:r>
              <w:rPr>
                <w:rFonts w:hint="eastAsia" w:ascii="宋体" w:hAnsi="宋体" w:cs="宋体"/>
                <w:szCs w:val="21"/>
              </w:rPr>
              <w:t>查到目标完成情况考核表：考核日期：2021.1</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日，以上能达标完成。</w:t>
            </w:r>
          </w:p>
          <w:p>
            <w:pPr>
              <w:spacing w:line="360" w:lineRule="auto"/>
              <w:rPr>
                <w:rFonts w:ascii="宋体" w:hAnsi="宋体" w:cs="宋体"/>
                <w:szCs w:val="21"/>
              </w:rPr>
            </w:pPr>
            <w:r>
              <w:rPr>
                <w:rFonts w:hint="eastAsia" w:ascii="宋体" w:hAnsi="宋体" w:cs="宋体"/>
                <w:szCs w:val="21"/>
              </w:rPr>
              <w:t>查综合管理部目标也能完成，</w:t>
            </w:r>
          </w:p>
          <w:tbl>
            <w:tblPr>
              <w:tblStyle w:val="9"/>
              <w:tblW w:w="5670" w:type="dxa"/>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3544" w:type="dxa"/>
                  <w:vAlign w:val="center"/>
                </w:tcPr>
                <w:p>
                  <w:pPr>
                    <w:spacing w:line="360" w:lineRule="auto"/>
                    <w:jc w:val="center"/>
                    <w:rPr>
                      <w:rFonts w:ascii="宋体" w:hAnsi="宋体" w:cs="宋体"/>
                      <w:szCs w:val="21"/>
                    </w:rPr>
                  </w:pPr>
                  <w:r>
                    <w:rPr>
                      <w:rFonts w:hint="eastAsia" w:ascii="宋体" w:hAnsi="宋体" w:cs="宋体"/>
                      <w:szCs w:val="21"/>
                    </w:rPr>
                    <w:t>目标指标</w:t>
                  </w:r>
                </w:p>
              </w:tc>
              <w:tc>
                <w:tcPr>
                  <w:tcW w:w="2126" w:type="dxa"/>
                  <w:vAlign w:val="center"/>
                </w:tcPr>
                <w:p>
                  <w:pPr>
                    <w:spacing w:line="360" w:lineRule="auto"/>
                    <w:jc w:val="center"/>
                    <w:rPr>
                      <w:rFonts w:ascii="宋体" w:hAnsi="宋体" w:cs="宋体"/>
                      <w:szCs w:val="21"/>
                    </w:rPr>
                  </w:pPr>
                  <w:r>
                    <w:rPr>
                      <w:rFonts w:hint="eastAsia" w:ascii="宋体" w:hAnsi="宋体" w:cs="宋体"/>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3544" w:type="dxa"/>
                  <w:vAlign w:val="center"/>
                </w:tcPr>
                <w:p>
                  <w:pPr>
                    <w:tabs>
                      <w:tab w:val="left" w:pos="700"/>
                    </w:tabs>
                    <w:snapToGrid w:val="0"/>
                    <w:spacing w:line="360" w:lineRule="auto"/>
                    <w:rPr>
                      <w:rFonts w:ascii="宋体" w:hAnsi="宋体" w:cs="宋体"/>
                      <w:szCs w:val="21"/>
                    </w:rPr>
                  </w:pPr>
                  <w:r>
                    <w:rPr>
                      <w:rFonts w:hint="eastAsia" w:ascii="宋体" w:hAnsi="宋体" w:cs="宋体"/>
                      <w:szCs w:val="21"/>
                    </w:rPr>
                    <w:t>培训计划完成率100%</w:t>
                  </w:r>
                </w:p>
                <w:p>
                  <w:pPr>
                    <w:spacing w:line="360" w:lineRule="auto"/>
                    <w:rPr>
                      <w:rFonts w:ascii="宋体" w:hAnsi="宋体" w:cs="宋体"/>
                      <w:szCs w:val="21"/>
                    </w:rPr>
                  </w:pPr>
                </w:p>
              </w:tc>
              <w:tc>
                <w:tcPr>
                  <w:tcW w:w="2126" w:type="dxa"/>
                  <w:vAlign w:val="center"/>
                </w:tcPr>
                <w:p>
                  <w:pPr>
                    <w:spacing w:line="360" w:lineRule="auto"/>
                    <w:jc w:val="center"/>
                    <w:rPr>
                      <w:rFonts w:ascii="宋体" w:hAnsi="宋体" w:cs="宋体"/>
                      <w:szCs w:val="21"/>
                    </w:rPr>
                  </w:pPr>
                  <w:r>
                    <w:rPr>
                      <w:rFonts w:hint="eastAsia" w:ascii="宋体" w:hAnsi="宋体" w:cs="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3544" w:type="dxa"/>
                  <w:vAlign w:val="center"/>
                </w:tcPr>
                <w:p>
                  <w:pPr>
                    <w:spacing w:line="360" w:lineRule="auto"/>
                    <w:rPr>
                      <w:rFonts w:ascii="宋体" w:hAnsi="宋体" w:cs="宋体"/>
                      <w:szCs w:val="21"/>
                    </w:rPr>
                  </w:pPr>
                  <w:r>
                    <w:rPr>
                      <w:rFonts w:hint="eastAsia" w:ascii="宋体" w:hAnsi="宋体" w:cs="宋体"/>
                      <w:szCs w:val="21"/>
                    </w:rPr>
                    <w:t>固体废弃物有效处置率100%</w:t>
                  </w:r>
                </w:p>
              </w:tc>
              <w:tc>
                <w:tcPr>
                  <w:tcW w:w="2126" w:type="dxa"/>
                  <w:vAlign w:val="center"/>
                </w:tcPr>
                <w:p>
                  <w:pPr>
                    <w:spacing w:line="360" w:lineRule="auto"/>
                    <w:jc w:val="center"/>
                    <w:rPr>
                      <w:rFonts w:ascii="宋体" w:hAnsi="宋体" w:cs="宋体"/>
                      <w:szCs w:val="21"/>
                    </w:rPr>
                  </w:pPr>
                  <w:r>
                    <w:rPr>
                      <w:rFonts w:hint="eastAsia" w:ascii="宋体" w:hAnsi="宋体" w:cs="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3544" w:type="dxa"/>
                  <w:vAlign w:val="center"/>
                </w:tcPr>
                <w:p>
                  <w:pPr>
                    <w:spacing w:line="360" w:lineRule="auto"/>
                    <w:rPr>
                      <w:rFonts w:ascii="宋体" w:hAnsi="宋体" w:cs="宋体"/>
                      <w:szCs w:val="21"/>
                    </w:rPr>
                  </w:pPr>
                  <w:r>
                    <w:rPr>
                      <w:rFonts w:hint="eastAsia" w:ascii="宋体" w:hAnsi="宋体" w:cs="宋体"/>
                      <w:szCs w:val="21"/>
                    </w:rPr>
                    <w:t>火灾发生率0</w:t>
                  </w:r>
                </w:p>
              </w:tc>
              <w:tc>
                <w:tcPr>
                  <w:tcW w:w="2126" w:type="dxa"/>
                  <w:vAlign w:val="center"/>
                </w:tcPr>
                <w:p>
                  <w:pPr>
                    <w:spacing w:line="360" w:lineRule="auto"/>
                    <w:jc w:val="center"/>
                    <w:rPr>
                      <w:rFonts w:ascii="宋体" w:hAnsi="宋体" w:cs="宋体"/>
                      <w:szCs w:val="21"/>
                    </w:rPr>
                  </w:pPr>
                  <w:r>
                    <w:rPr>
                      <w:rFonts w:hint="eastAsia" w:ascii="宋体" w:hAnsi="宋体"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3544" w:type="dxa"/>
                  <w:vAlign w:val="center"/>
                </w:tcPr>
                <w:p>
                  <w:pPr>
                    <w:spacing w:line="360" w:lineRule="auto"/>
                    <w:rPr>
                      <w:rFonts w:ascii="宋体" w:hAnsi="宋体" w:cs="宋体"/>
                      <w:szCs w:val="21"/>
                    </w:rPr>
                  </w:pPr>
                  <w:r>
                    <w:rPr>
                      <w:rFonts w:hint="eastAsia" w:ascii="宋体" w:hAnsi="宋体" w:cs="宋体"/>
                      <w:szCs w:val="21"/>
                    </w:rPr>
                    <w:t>环保、健康安全资金落实率90%以上90%以上</w:t>
                  </w:r>
                </w:p>
              </w:tc>
              <w:tc>
                <w:tcPr>
                  <w:tcW w:w="2126" w:type="dxa"/>
                  <w:vAlign w:val="center"/>
                </w:tcPr>
                <w:p>
                  <w:pPr>
                    <w:spacing w:line="360" w:lineRule="auto"/>
                    <w:jc w:val="center"/>
                    <w:rPr>
                      <w:rFonts w:ascii="宋体" w:hAnsi="宋体" w:cs="宋体"/>
                      <w:szCs w:val="21"/>
                    </w:rPr>
                  </w:pPr>
                  <w:r>
                    <w:rPr>
                      <w:rFonts w:hint="eastAsia" w:ascii="宋体" w:hAnsi="宋体" w:cs="宋体"/>
                      <w:szCs w:val="21"/>
                    </w:rPr>
                    <w:t>100%</w:t>
                  </w:r>
                </w:p>
              </w:tc>
            </w:tr>
          </w:tbl>
          <w:p>
            <w:pPr>
              <w:autoSpaceDE w:val="0"/>
              <w:autoSpaceDN w:val="0"/>
              <w:spacing w:line="360" w:lineRule="auto"/>
              <w:rPr>
                <w:rFonts w:ascii="宋体" w:hAnsi="宋体" w:cs="宋体"/>
                <w:szCs w:val="21"/>
              </w:rPr>
            </w:pPr>
          </w:p>
          <w:p>
            <w:pPr>
              <w:spacing w:line="360" w:lineRule="auto"/>
              <w:jc w:val="left"/>
              <w:rPr>
                <w:rFonts w:ascii="宋体" w:hAnsi="宋体" w:cs="宋体"/>
                <w:szCs w:val="21"/>
              </w:rPr>
            </w:pPr>
            <w:r>
              <w:rPr>
                <w:rFonts w:hint="eastAsia" w:ascii="宋体" w:hAnsi="宋体" w:cs="宋体"/>
                <w:szCs w:val="21"/>
              </w:rPr>
              <w:t>查到公司《目标指标及措施方案》</w:t>
            </w:r>
          </w:p>
          <w:p>
            <w:pPr>
              <w:spacing w:line="360" w:lineRule="auto"/>
              <w:jc w:val="left"/>
              <w:rPr>
                <w:rFonts w:ascii="宋体" w:hAnsi="宋体" w:cs="宋体"/>
                <w:szCs w:val="21"/>
              </w:rPr>
            </w:pPr>
            <w:r>
              <w:rPr>
                <w:rFonts w:hint="eastAsia" w:ascii="宋体" w:hAnsi="宋体" w:cs="宋体"/>
                <w:szCs w:val="21"/>
              </w:rPr>
              <w:t>综合管理部</w:t>
            </w:r>
          </w:p>
          <w:p>
            <w:pPr>
              <w:numPr>
                <w:ilvl w:val="0"/>
                <w:numId w:val="1"/>
              </w:numPr>
              <w:tabs>
                <w:tab w:val="left" w:pos="700"/>
              </w:tabs>
              <w:snapToGrid w:val="0"/>
              <w:spacing w:line="360" w:lineRule="auto"/>
              <w:ind w:left="424" w:leftChars="202" w:firstLine="0"/>
              <w:rPr>
                <w:rFonts w:ascii="宋体" w:hAnsi="宋体" w:cs="宋体"/>
                <w:szCs w:val="21"/>
              </w:rPr>
            </w:pPr>
            <w:r>
              <w:rPr>
                <w:rFonts w:hint="eastAsia" w:ascii="宋体" w:hAnsi="宋体" w:cs="宋体"/>
                <w:szCs w:val="21"/>
              </w:rPr>
              <w:t>固体废弃物有效处理率为100%；</w:t>
            </w:r>
          </w:p>
          <w:p>
            <w:pPr>
              <w:pStyle w:val="17"/>
              <w:numPr>
                <w:ilvl w:val="0"/>
                <w:numId w:val="2"/>
              </w:numPr>
              <w:tabs>
                <w:tab w:val="left" w:pos="780"/>
              </w:tabs>
              <w:snapToGrid w:val="0"/>
              <w:spacing w:line="360" w:lineRule="auto"/>
              <w:ind w:firstLineChars="0"/>
              <w:rPr>
                <w:rFonts w:ascii="宋体" w:hAnsi="宋体" w:cs="宋体"/>
                <w:szCs w:val="21"/>
              </w:rPr>
            </w:pPr>
            <w:r>
              <w:rPr>
                <w:rFonts w:hint="eastAsia" w:ascii="宋体" w:hAnsi="宋体" w:cs="宋体"/>
                <w:szCs w:val="21"/>
              </w:rPr>
              <w:t>制定固体废弃物分类标准</w:t>
            </w:r>
          </w:p>
          <w:p>
            <w:pPr>
              <w:pStyle w:val="17"/>
              <w:numPr>
                <w:ilvl w:val="0"/>
                <w:numId w:val="2"/>
              </w:numPr>
              <w:tabs>
                <w:tab w:val="left" w:pos="780"/>
              </w:tabs>
              <w:snapToGrid w:val="0"/>
              <w:spacing w:line="360" w:lineRule="auto"/>
              <w:ind w:firstLineChars="0"/>
              <w:rPr>
                <w:rFonts w:ascii="宋体" w:hAnsi="宋体" w:cs="宋体"/>
                <w:szCs w:val="21"/>
              </w:rPr>
            </w:pPr>
            <w:r>
              <w:rPr>
                <w:rFonts w:hint="eastAsia" w:ascii="宋体" w:hAnsi="宋体" w:cs="宋体"/>
                <w:szCs w:val="21"/>
              </w:rPr>
              <w:t>购置固体废弃物分类存放容器并标识</w:t>
            </w:r>
          </w:p>
          <w:p>
            <w:pPr>
              <w:pStyle w:val="17"/>
              <w:numPr>
                <w:ilvl w:val="0"/>
                <w:numId w:val="2"/>
              </w:numPr>
              <w:tabs>
                <w:tab w:val="left" w:pos="780"/>
              </w:tabs>
              <w:snapToGrid w:val="0"/>
              <w:spacing w:line="360" w:lineRule="auto"/>
              <w:ind w:firstLineChars="0"/>
              <w:rPr>
                <w:rFonts w:ascii="宋体" w:hAnsi="宋体" w:cs="宋体"/>
                <w:szCs w:val="21"/>
              </w:rPr>
            </w:pPr>
            <w:r>
              <w:rPr>
                <w:rFonts w:hint="eastAsia" w:ascii="宋体" w:hAnsi="宋体" w:cs="宋体"/>
                <w:szCs w:val="21"/>
              </w:rPr>
              <w:t>根据分类交由有资质的回收方回收处理。</w:t>
            </w:r>
          </w:p>
          <w:p>
            <w:pPr>
              <w:numPr>
                <w:ilvl w:val="0"/>
                <w:numId w:val="1"/>
              </w:numPr>
              <w:tabs>
                <w:tab w:val="left" w:pos="700"/>
              </w:tabs>
              <w:snapToGrid w:val="0"/>
              <w:spacing w:line="360" w:lineRule="auto"/>
              <w:ind w:left="424" w:leftChars="202" w:firstLine="0"/>
              <w:rPr>
                <w:rFonts w:ascii="宋体" w:hAnsi="宋体" w:cs="宋体"/>
                <w:szCs w:val="21"/>
              </w:rPr>
            </w:pPr>
            <w:r>
              <w:rPr>
                <w:rFonts w:hint="eastAsia" w:ascii="宋体" w:hAnsi="宋体" w:cs="宋体"/>
                <w:szCs w:val="21"/>
              </w:rPr>
              <w:t>培训计划完成率100%</w:t>
            </w:r>
          </w:p>
          <w:p>
            <w:pPr>
              <w:pStyle w:val="17"/>
              <w:numPr>
                <w:ilvl w:val="0"/>
                <w:numId w:val="2"/>
              </w:numPr>
              <w:tabs>
                <w:tab w:val="left" w:pos="780"/>
              </w:tabs>
              <w:snapToGrid w:val="0"/>
              <w:spacing w:line="360" w:lineRule="auto"/>
              <w:ind w:firstLineChars="0"/>
              <w:rPr>
                <w:rFonts w:ascii="宋体" w:hAnsi="宋体" w:cs="宋体"/>
                <w:szCs w:val="21"/>
              </w:rPr>
            </w:pPr>
            <w:r>
              <w:rPr>
                <w:rFonts w:hint="eastAsia" w:ascii="宋体" w:hAnsi="宋体" w:cs="宋体"/>
                <w:szCs w:val="21"/>
              </w:rPr>
              <w:t>培训计划合理制定</w:t>
            </w:r>
          </w:p>
          <w:p>
            <w:pPr>
              <w:pStyle w:val="17"/>
              <w:numPr>
                <w:ilvl w:val="0"/>
                <w:numId w:val="2"/>
              </w:numPr>
              <w:tabs>
                <w:tab w:val="left" w:pos="780"/>
              </w:tabs>
              <w:snapToGrid w:val="0"/>
              <w:spacing w:line="360" w:lineRule="auto"/>
              <w:ind w:firstLineChars="0"/>
              <w:rPr>
                <w:rFonts w:ascii="宋体" w:hAnsi="宋体" w:cs="宋体"/>
                <w:szCs w:val="21"/>
              </w:rPr>
            </w:pPr>
            <w:r>
              <w:rPr>
                <w:rFonts w:hint="eastAsia" w:ascii="宋体" w:hAnsi="宋体" w:cs="宋体"/>
                <w:szCs w:val="21"/>
              </w:rPr>
              <w:t>专人负责定期检查</w:t>
            </w:r>
          </w:p>
          <w:p>
            <w:pPr>
              <w:numPr>
                <w:ilvl w:val="0"/>
                <w:numId w:val="1"/>
              </w:numPr>
              <w:tabs>
                <w:tab w:val="left" w:pos="709"/>
              </w:tabs>
              <w:snapToGrid w:val="0"/>
              <w:spacing w:line="360" w:lineRule="auto"/>
              <w:ind w:left="424" w:leftChars="202" w:firstLine="0"/>
              <w:rPr>
                <w:rFonts w:ascii="宋体" w:hAnsi="宋体" w:cs="宋体"/>
                <w:szCs w:val="21"/>
              </w:rPr>
            </w:pPr>
            <w:r>
              <w:rPr>
                <w:rFonts w:hint="eastAsia" w:ascii="宋体" w:hAnsi="宋体" w:cs="宋体"/>
                <w:szCs w:val="21"/>
              </w:rPr>
              <w:t>环保、健康安全资金落实率90%以上。</w:t>
            </w:r>
          </w:p>
          <w:p>
            <w:pPr>
              <w:pStyle w:val="17"/>
              <w:numPr>
                <w:ilvl w:val="0"/>
                <w:numId w:val="2"/>
              </w:numPr>
              <w:tabs>
                <w:tab w:val="left" w:pos="709"/>
              </w:tabs>
              <w:snapToGrid w:val="0"/>
              <w:spacing w:line="360" w:lineRule="auto"/>
              <w:ind w:firstLineChars="0"/>
              <w:rPr>
                <w:rFonts w:ascii="宋体" w:hAnsi="宋体" w:cs="宋体"/>
                <w:szCs w:val="21"/>
              </w:rPr>
            </w:pPr>
            <w:r>
              <w:rPr>
                <w:rFonts w:hint="eastAsia" w:ascii="宋体" w:hAnsi="宋体" w:cs="宋体"/>
                <w:szCs w:val="21"/>
              </w:rPr>
              <w:t>制定列支计划表实时记录</w:t>
            </w:r>
          </w:p>
          <w:p>
            <w:pPr>
              <w:pStyle w:val="17"/>
              <w:numPr>
                <w:ilvl w:val="0"/>
                <w:numId w:val="2"/>
              </w:numPr>
              <w:tabs>
                <w:tab w:val="left" w:pos="709"/>
              </w:tabs>
              <w:snapToGrid w:val="0"/>
              <w:spacing w:line="360" w:lineRule="auto"/>
              <w:ind w:firstLineChars="0"/>
              <w:rPr>
                <w:rFonts w:ascii="宋体" w:hAnsi="宋体" w:cs="宋体"/>
                <w:szCs w:val="21"/>
              </w:rPr>
            </w:pPr>
            <w:r>
              <w:rPr>
                <w:rFonts w:hint="eastAsia" w:ascii="宋体" w:hAnsi="宋体" w:cs="宋体"/>
                <w:szCs w:val="21"/>
              </w:rPr>
              <w:t>专人负责，定期间检查</w:t>
            </w:r>
          </w:p>
          <w:p>
            <w:pPr>
              <w:pStyle w:val="17"/>
              <w:tabs>
                <w:tab w:val="left" w:pos="709"/>
              </w:tabs>
              <w:snapToGrid w:val="0"/>
              <w:spacing w:line="360" w:lineRule="auto"/>
              <w:ind w:left="372" w:leftChars="177" w:firstLine="0" w:firstLineChars="0"/>
              <w:rPr>
                <w:rFonts w:ascii="宋体" w:hAnsi="宋体" w:cs="宋体"/>
                <w:szCs w:val="21"/>
              </w:rPr>
            </w:pPr>
            <w:r>
              <w:rPr>
                <w:rFonts w:hint="eastAsia" w:ascii="宋体" w:hAnsi="宋体" w:cs="宋体"/>
                <w:color w:val="000000"/>
                <w:szCs w:val="21"/>
              </w:rPr>
              <w:t>4）无火灾事故。</w:t>
            </w:r>
          </w:p>
          <w:p>
            <w:pPr>
              <w:pStyle w:val="17"/>
              <w:numPr>
                <w:ilvl w:val="0"/>
                <w:numId w:val="3"/>
              </w:numPr>
              <w:tabs>
                <w:tab w:val="left" w:pos="709"/>
              </w:tabs>
              <w:snapToGrid w:val="0"/>
              <w:spacing w:line="360" w:lineRule="auto"/>
              <w:ind w:firstLineChars="0"/>
              <w:rPr>
                <w:rFonts w:ascii="宋体" w:hAnsi="宋体" w:cs="宋体"/>
                <w:color w:val="000000"/>
                <w:szCs w:val="21"/>
              </w:rPr>
            </w:pPr>
            <w:r>
              <w:rPr>
                <w:rFonts w:hint="eastAsia" w:ascii="宋体" w:hAnsi="宋体" w:cs="宋体"/>
                <w:color w:val="000000"/>
                <w:szCs w:val="21"/>
              </w:rPr>
              <w:t>建立安全环保检查制度</w:t>
            </w:r>
          </w:p>
          <w:p>
            <w:pPr>
              <w:pStyle w:val="17"/>
              <w:numPr>
                <w:ilvl w:val="0"/>
                <w:numId w:val="3"/>
              </w:numPr>
              <w:tabs>
                <w:tab w:val="left" w:pos="709"/>
              </w:tabs>
              <w:snapToGrid w:val="0"/>
              <w:spacing w:line="360" w:lineRule="auto"/>
              <w:ind w:firstLineChars="0"/>
              <w:rPr>
                <w:rFonts w:ascii="宋体" w:hAnsi="宋体" w:cs="宋体"/>
                <w:color w:val="000000"/>
                <w:szCs w:val="21"/>
              </w:rPr>
            </w:pPr>
            <w:r>
              <w:rPr>
                <w:rFonts w:hint="eastAsia" w:ascii="宋体" w:hAnsi="宋体" w:cs="宋体"/>
                <w:color w:val="000000"/>
                <w:szCs w:val="21"/>
              </w:rPr>
              <w:t>专人负责定期检查，如实记录</w:t>
            </w:r>
          </w:p>
          <w:p>
            <w:pPr>
              <w:pStyle w:val="17"/>
              <w:numPr>
                <w:ilvl w:val="0"/>
                <w:numId w:val="3"/>
              </w:numPr>
              <w:tabs>
                <w:tab w:val="left" w:pos="709"/>
              </w:tabs>
              <w:snapToGrid w:val="0"/>
              <w:spacing w:line="360" w:lineRule="auto"/>
              <w:ind w:firstLineChars="0"/>
              <w:rPr>
                <w:rFonts w:ascii="宋体" w:hAnsi="宋体" w:cs="宋体"/>
                <w:szCs w:val="21"/>
              </w:rPr>
            </w:pPr>
            <w:r>
              <w:rPr>
                <w:rFonts w:hint="eastAsia" w:ascii="宋体" w:hAnsi="宋体" w:cs="宋体"/>
                <w:color w:val="000000"/>
                <w:szCs w:val="21"/>
              </w:rPr>
              <w:t>有效整改不符合项</w:t>
            </w:r>
          </w:p>
          <w:p>
            <w:pPr>
              <w:autoSpaceDE w:val="0"/>
              <w:autoSpaceDN w:val="0"/>
              <w:spacing w:line="360" w:lineRule="auto"/>
              <w:rPr>
                <w:rFonts w:ascii="宋体" w:hAnsi="宋体" w:cs="宋体"/>
                <w:szCs w:val="21"/>
              </w:rPr>
            </w:pPr>
            <w:r>
              <w:rPr>
                <w:rFonts w:hint="eastAsia" w:ascii="宋体" w:hAnsi="宋体" w:cs="宋体"/>
                <w:szCs w:val="21"/>
              </w:rPr>
              <w:t>查，管理目标：火灾事故发生率为0，</w:t>
            </w:r>
          </w:p>
          <w:p>
            <w:pPr>
              <w:spacing w:line="360" w:lineRule="auto"/>
              <w:ind w:firstLine="420" w:firstLineChars="200"/>
              <w:jc w:val="left"/>
              <w:rPr>
                <w:rFonts w:ascii="宋体" w:hAnsi="宋体" w:cs="宋体"/>
                <w:szCs w:val="21"/>
              </w:rPr>
            </w:pPr>
            <w:r>
              <w:rPr>
                <w:rFonts w:hint="eastAsia" w:ascii="宋体" w:hAnsi="宋体" w:cs="宋体"/>
                <w:szCs w:val="21"/>
              </w:rPr>
              <w:t>管理组织及职责：规定了各部门负责人及工作人员的职责及控制方法，费用预算、完成时间。</w:t>
            </w:r>
          </w:p>
          <w:p>
            <w:pPr>
              <w:spacing w:line="360" w:lineRule="auto"/>
              <w:ind w:firstLine="420" w:firstLineChars="200"/>
              <w:jc w:val="left"/>
              <w:rPr>
                <w:rFonts w:ascii="宋体" w:hAnsi="宋体" w:cs="宋体"/>
                <w:szCs w:val="21"/>
              </w:rPr>
            </w:pPr>
            <w:r>
              <w:rPr>
                <w:rFonts w:hint="eastAsia" w:ascii="宋体" w:hAnsi="宋体" w:cs="宋体"/>
                <w:szCs w:val="21"/>
              </w:rPr>
              <w:t>主要措施：增加环保设备、加强电器设备的维护和保养；加强对于仓库和车间易燃部位管理，杜绝火灾隐患；确保厂区应急通道畅通；确保消防设施完好；加强火灾安全意识。</w:t>
            </w:r>
          </w:p>
          <w:p>
            <w:pPr>
              <w:spacing w:line="360" w:lineRule="auto"/>
              <w:ind w:firstLine="420" w:firstLineChars="200"/>
              <w:jc w:val="left"/>
              <w:rPr>
                <w:rFonts w:ascii="宋体" w:hAnsi="宋体" w:cs="宋体"/>
                <w:szCs w:val="21"/>
              </w:rPr>
            </w:pPr>
            <w:r>
              <w:rPr>
                <w:rFonts w:hint="eastAsia" w:ascii="宋体" w:hAnsi="宋体" w:cs="宋体"/>
                <w:szCs w:val="21"/>
              </w:rPr>
              <w:t>费用10000元，责任人吴知虎，完成期限202</w:t>
            </w:r>
            <w:r>
              <w:rPr>
                <w:rFonts w:hint="eastAsia" w:ascii="宋体" w:hAnsi="宋体" w:cs="宋体"/>
                <w:szCs w:val="21"/>
                <w:lang w:val="en-US" w:eastAsia="zh-CN"/>
              </w:rPr>
              <w:t>1</w:t>
            </w:r>
            <w:r>
              <w:rPr>
                <w:rFonts w:hint="eastAsia" w:ascii="宋体" w:hAnsi="宋体" w:cs="宋体"/>
                <w:szCs w:val="21"/>
              </w:rPr>
              <w:t>.12月份，</w:t>
            </w:r>
          </w:p>
          <w:p>
            <w:pPr>
              <w:spacing w:line="360" w:lineRule="auto"/>
              <w:ind w:firstLine="420" w:firstLineChars="200"/>
              <w:jc w:val="left"/>
              <w:rPr>
                <w:rFonts w:ascii="宋体" w:hAnsi="宋体" w:cs="宋体"/>
                <w:szCs w:val="21"/>
              </w:rPr>
            </w:pPr>
            <w:r>
              <w:rPr>
                <w:rFonts w:hint="eastAsia" w:ascii="宋体" w:hAnsi="宋体" w:cs="宋体"/>
                <w:szCs w:val="21"/>
              </w:rPr>
              <w:t>管理方案编制人：吴知虎，批准：沙宏涛，日期：202</w:t>
            </w:r>
            <w:r>
              <w:rPr>
                <w:rFonts w:hint="eastAsia" w:ascii="宋体" w:hAnsi="宋体" w:cs="宋体"/>
                <w:szCs w:val="21"/>
                <w:lang w:val="en-US" w:eastAsia="zh-CN"/>
              </w:rPr>
              <w:t>1</w:t>
            </w:r>
            <w:r>
              <w:rPr>
                <w:rFonts w:hint="eastAsia" w:ascii="宋体" w:hAnsi="宋体" w:cs="宋体"/>
                <w:szCs w:val="21"/>
              </w:rPr>
              <w:t>年1月5日。</w:t>
            </w:r>
          </w:p>
          <w:p>
            <w:pPr>
              <w:spacing w:line="360" w:lineRule="auto"/>
              <w:ind w:firstLine="420" w:firstLineChars="200"/>
              <w:jc w:val="left"/>
              <w:rPr>
                <w:rFonts w:ascii="宋体" w:hAnsi="宋体" w:cs="宋体"/>
                <w:szCs w:val="21"/>
              </w:rPr>
            </w:pPr>
            <w:r>
              <w:rPr>
                <w:rFonts w:hint="eastAsia" w:ascii="宋体" w:hAnsi="宋体" w:cs="宋体"/>
                <w:szCs w:val="21"/>
              </w:rPr>
              <w:t>另外抽查降低设备噪声的管理方案、加强固体废物管理的管理方案，制定了管理控制措施，明确的责任人、费用和完成期限，经过审批。</w:t>
            </w:r>
          </w:p>
          <w:p>
            <w:pPr>
              <w:autoSpaceDE w:val="0"/>
              <w:autoSpaceDN w:val="0"/>
              <w:spacing w:line="360" w:lineRule="auto"/>
              <w:ind w:firstLine="420" w:firstLineChars="200"/>
              <w:rPr>
                <w:rFonts w:ascii="宋体" w:hAnsi="宋体" w:cs="宋体"/>
                <w:szCs w:val="21"/>
              </w:rPr>
            </w:pPr>
            <w:r>
              <w:rPr>
                <w:rFonts w:hint="eastAsia" w:ascii="宋体" w:hAnsi="宋体" w:cs="宋体"/>
                <w:szCs w:val="21"/>
              </w:rPr>
              <w:t>管理方案由责任部门组织实施，目前在实施中，部分已完成。</w:t>
            </w:r>
          </w:p>
        </w:tc>
        <w:tc>
          <w:tcPr>
            <w:tcW w:w="1585"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809" w:type="dxa"/>
            <w:vAlign w:val="center"/>
          </w:tcPr>
          <w:p>
            <w:pPr>
              <w:snapToGrid w:val="0"/>
              <w:spacing w:line="360" w:lineRule="auto"/>
              <w:rPr>
                <w:rFonts w:ascii="宋体" w:hAnsi="宋体" w:cs="宋体"/>
                <w:szCs w:val="21"/>
              </w:rPr>
            </w:pPr>
            <w:r>
              <w:rPr>
                <w:rFonts w:hint="eastAsia" w:ascii="宋体" w:hAnsi="宋体" w:cs="宋体"/>
                <w:szCs w:val="21"/>
              </w:rPr>
              <w:t xml:space="preserve"> 环境因素</w:t>
            </w:r>
          </w:p>
        </w:tc>
        <w:tc>
          <w:tcPr>
            <w:tcW w:w="1311" w:type="dxa"/>
          </w:tcPr>
          <w:p>
            <w:pPr>
              <w:spacing w:line="360" w:lineRule="auto"/>
              <w:rPr>
                <w:rFonts w:ascii="宋体" w:hAnsi="宋体" w:cs="宋体"/>
                <w:bCs/>
                <w:szCs w:val="21"/>
              </w:rPr>
            </w:pPr>
          </w:p>
          <w:p>
            <w:pPr>
              <w:spacing w:line="360" w:lineRule="auto"/>
              <w:rPr>
                <w:rFonts w:ascii="宋体" w:hAnsi="宋体" w:cs="宋体"/>
                <w:bCs/>
                <w:szCs w:val="21"/>
              </w:rPr>
            </w:pPr>
          </w:p>
          <w:p>
            <w:pPr>
              <w:pStyle w:val="3"/>
            </w:pPr>
          </w:p>
          <w:p>
            <w:pPr>
              <w:spacing w:line="360" w:lineRule="auto"/>
              <w:rPr>
                <w:rFonts w:ascii="宋体" w:hAnsi="宋体" w:cs="宋体"/>
                <w:szCs w:val="21"/>
              </w:rPr>
            </w:pPr>
            <w:r>
              <w:rPr>
                <w:rFonts w:hint="eastAsia" w:ascii="宋体" w:hAnsi="宋体" w:cs="宋体"/>
                <w:bCs/>
                <w:szCs w:val="21"/>
              </w:rPr>
              <w:t xml:space="preserve"> </w:t>
            </w:r>
            <w:r>
              <w:rPr>
                <w:rFonts w:hint="eastAsia" w:ascii="宋体" w:hAnsi="宋体" w:cs="宋体"/>
                <w:szCs w:val="21"/>
              </w:rPr>
              <w:t xml:space="preserve">6.1.2 </w:t>
            </w:r>
          </w:p>
          <w:p>
            <w:pPr>
              <w:spacing w:line="360" w:lineRule="auto"/>
              <w:rPr>
                <w:rFonts w:ascii="宋体" w:hAnsi="宋体" w:cs="宋体"/>
                <w:szCs w:val="21"/>
              </w:rPr>
            </w:pPr>
          </w:p>
        </w:tc>
        <w:tc>
          <w:tcPr>
            <w:tcW w:w="10004" w:type="dxa"/>
          </w:tcPr>
          <w:p>
            <w:pPr>
              <w:spacing w:line="360" w:lineRule="auto"/>
              <w:ind w:firstLine="420" w:firstLineChars="200"/>
              <w:rPr>
                <w:rFonts w:ascii="宋体" w:hAnsi="宋体" w:cs="宋体"/>
                <w:szCs w:val="21"/>
              </w:rPr>
            </w:pPr>
            <w:r>
              <w:rPr>
                <w:rFonts w:hint="eastAsia" w:ascii="宋体" w:hAnsi="宋体" w:cs="宋体"/>
                <w:bCs/>
                <w:szCs w:val="21"/>
              </w:rPr>
              <w:t>综合管理部为环境管理体系的推进</w:t>
            </w:r>
            <w:r>
              <w:rPr>
                <w:rFonts w:hint="eastAsia" w:ascii="宋体" w:hAnsi="宋体" w:cs="宋体"/>
                <w:szCs w:val="21"/>
              </w:rPr>
              <w:t>部门，主要负责识别评价相关的环境因素，查有：《环境因素识别与评价控制程序》。</w:t>
            </w:r>
          </w:p>
          <w:p>
            <w:pPr>
              <w:spacing w:line="360" w:lineRule="auto"/>
              <w:ind w:firstLine="420" w:firstLineChars="200"/>
              <w:rPr>
                <w:rFonts w:ascii="宋体" w:hAnsi="宋体" w:cs="宋体"/>
                <w:szCs w:val="21"/>
              </w:rPr>
            </w:pPr>
            <w:r>
              <w:rPr>
                <w:rFonts w:hint="eastAsia" w:ascii="宋体" w:hAnsi="宋体" w:cs="宋体"/>
                <w:szCs w:val="21"/>
              </w:rPr>
              <w:t>根据各生产、办公、销售过程环节识别，由综合管理部统一汇总。</w:t>
            </w:r>
          </w:p>
          <w:p>
            <w:pPr>
              <w:tabs>
                <w:tab w:val="left" w:pos="6597"/>
              </w:tabs>
              <w:spacing w:line="360" w:lineRule="auto"/>
              <w:ind w:firstLine="420" w:firstLineChars="200"/>
              <w:rPr>
                <w:rFonts w:ascii="宋体" w:hAnsi="宋体" w:cs="宋体"/>
                <w:szCs w:val="21"/>
              </w:rPr>
            </w:pPr>
            <w:r>
              <w:rPr>
                <w:rFonts w:hint="eastAsia" w:ascii="宋体" w:hAnsi="宋体" w:cs="宋体"/>
                <w:szCs w:val="21"/>
              </w:rPr>
              <w:t xml:space="preserve">提供了“环境因素识别评价汇总表”，识别了体系覆盖的各过程的环境因素，如水电消耗、包装物消耗、废旧办公设备排放、废水排放、生活垃圾排放、运输汽车尾气扬尘排放、废气排放、废水排放、设备噪声的排放等环境因素等。 </w:t>
            </w:r>
          </w:p>
          <w:p>
            <w:pPr>
              <w:tabs>
                <w:tab w:val="left" w:pos="6597"/>
              </w:tabs>
              <w:spacing w:line="360" w:lineRule="auto"/>
              <w:ind w:firstLine="420" w:firstLineChars="200"/>
              <w:rPr>
                <w:rFonts w:ascii="宋体" w:hAnsi="宋体" w:cs="宋体"/>
                <w:szCs w:val="21"/>
              </w:rPr>
            </w:pPr>
            <w:r>
              <w:rPr>
                <w:rFonts w:hint="eastAsia" w:ascii="宋体" w:hAnsi="宋体" w:cs="宋体"/>
                <w:szCs w:val="21"/>
              </w:rPr>
              <w:t>现场提供了《重要环境因素清单》，通过评价，公司共识别出重要环境因素6项:火灾、固体废弃物、电能消耗、资源消耗、大气污染、噪声污染。</w:t>
            </w:r>
          </w:p>
          <w:p>
            <w:pPr>
              <w:tabs>
                <w:tab w:val="left" w:pos="6597"/>
              </w:tabs>
              <w:spacing w:line="360" w:lineRule="auto"/>
              <w:rPr>
                <w:rFonts w:ascii="宋体" w:hAnsi="宋体" w:cs="宋体"/>
                <w:szCs w:val="21"/>
              </w:rPr>
            </w:pPr>
            <w:r>
              <w:rPr>
                <w:rFonts w:hint="eastAsia" w:ascii="宋体" w:hAnsi="宋体" w:cs="宋体"/>
                <w:szCs w:val="21"/>
              </w:rPr>
              <w:t>查综合管理部环境因素识别情况：识别了办公过程的如下环境因素：有办公过程中的水电消耗、纸张使用、废办公设备排放、生活垃圾排放、火灾等。</w:t>
            </w:r>
          </w:p>
          <w:p>
            <w:pPr>
              <w:tabs>
                <w:tab w:val="left" w:pos="6597"/>
              </w:tabs>
              <w:spacing w:line="360" w:lineRule="auto"/>
              <w:rPr>
                <w:rFonts w:ascii="宋体" w:hAnsi="宋体" w:cs="宋体"/>
                <w:szCs w:val="21"/>
              </w:rPr>
            </w:pPr>
            <w:r>
              <w:rPr>
                <w:rFonts w:hint="eastAsia" w:ascii="宋体" w:hAnsi="宋体" w:cs="宋体"/>
                <w:szCs w:val="21"/>
              </w:rPr>
              <w:t>涉及综合管理部的重要环境因素有2项：办公活动过程中的火灾及固废排放。</w:t>
            </w:r>
          </w:p>
          <w:p>
            <w:pPr>
              <w:tabs>
                <w:tab w:val="left" w:pos="6597"/>
              </w:tabs>
              <w:spacing w:line="360" w:lineRule="auto"/>
              <w:ind w:firstLine="420" w:firstLineChars="200"/>
              <w:rPr>
                <w:rFonts w:ascii="宋体" w:hAnsi="宋体" w:cs="宋体"/>
                <w:szCs w:val="21"/>
              </w:rPr>
            </w:pPr>
            <w:r>
              <w:rPr>
                <w:rFonts w:hint="eastAsia" w:ascii="宋体" w:hAnsi="宋体" w:cs="宋体"/>
                <w:szCs w:val="21"/>
              </w:rPr>
              <w:t>对于重要环境因素的控制，通过日常检查、目标、管理方案、运行控制、应急预案等控制方式，各部门的运行控制情况见各部门审核记录。</w:t>
            </w:r>
          </w:p>
        </w:tc>
        <w:tc>
          <w:tcPr>
            <w:tcW w:w="1585"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09" w:type="dxa"/>
            <w:vAlign w:val="center"/>
          </w:tcPr>
          <w:p>
            <w:pPr>
              <w:spacing w:line="360" w:lineRule="auto"/>
              <w:rPr>
                <w:rFonts w:ascii="宋体" w:hAnsi="宋体" w:cs="宋体"/>
                <w:szCs w:val="21"/>
              </w:rPr>
            </w:pPr>
            <w:r>
              <w:rPr>
                <w:rFonts w:hint="eastAsia" w:ascii="宋体" w:hAnsi="宋体" w:cs="宋体"/>
                <w:szCs w:val="21"/>
              </w:rPr>
              <w:t>合规义务</w:t>
            </w:r>
          </w:p>
        </w:tc>
        <w:tc>
          <w:tcPr>
            <w:tcW w:w="1311" w:type="dxa"/>
          </w:tcPr>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rPr>
                <w:rFonts w:ascii="宋体" w:hAnsi="宋体" w:cs="宋体"/>
                <w:bCs/>
                <w:szCs w:val="21"/>
              </w:rPr>
            </w:pPr>
            <w:r>
              <w:rPr>
                <w:rFonts w:hint="eastAsia" w:ascii="宋体" w:hAnsi="宋体" w:cs="宋体"/>
                <w:bCs/>
                <w:szCs w:val="21"/>
              </w:rPr>
              <w:t>E：</w:t>
            </w:r>
            <w:r>
              <w:rPr>
                <w:rFonts w:hint="eastAsia" w:ascii="宋体" w:hAnsi="宋体" w:cs="宋体"/>
                <w:szCs w:val="21"/>
              </w:rPr>
              <w:t>6.1.3</w:t>
            </w:r>
          </w:p>
        </w:tc>
        <w:tc>
          <w:tcPr>
            <w:tcW w:w="10004" w:type="dxa"/>
            <w:vAlign w:val="center"/>
          </w:tcPr>
          <w:p>
            <w:pPr>
              <w:tabs>
                <w:tab w:val="left" w:pos="6597"/>
              </w:tabs>
              <w:spacing w:line="360" w:lineRule="auto"/>
              <w:ind w:firstLine="420" w:firstLineChars="200"/>
              <w:rPr>
                <w:rFonts w:ascii="宋体" w:hAnsi="宋体" w:cs="宋体"/>
                <w:szCs w:val="21"/>
              </w:rPr>
            </w:pPr>
            <w:r>
              <w:rPr>
                <w:rFonts w:hint="eastAsia" w:ascii="宋体" w:hAnsi="宋体" w:cs="宋体"/>
                <w:szCs w:val="21"/>
              </w:rPr>
              <w:t>建立实施了《法律法规及其他要求控制程序》。</w:t>
            </w:r>
          </w:p>
          <w:p>
            <w:pPr>
              <w:spacing w:line="360" w:lineRule="auto"/>
              <w:ind w:firstLine="420" w:firstLineChars="200"/>
              <w:rPr>
                <w:rFonts w:ascii="宋体" w:hAnsi="宋体" w:cs="宋体"/>
                <w:szCs w:val="21"/>
              </w:rPr>
            </w:pPr>
            <w:r>
              <w:rPr>
                <w:rFonts w:hint="eastAsia" w:ascii="宋体" w:hAnsi="宋体" w:cs="宋体"/>
                <w:szCs w:val="21"/>
              </w:rPr>
              <w:t>提供了“法律法规和其他要求清单”，包含了51个环境法律法规、标准和其他要求。如中华人民共和国环境保护法、中华人民共和国消防法、中华人民共和国环境影响评价法、中华人民共和国水污染防治法、中华人民共和国噪声污染防治法、陕西省消防条例等。</w:t>
            </w:r>
          </w:p>
          <w:p>
            <w:pPr>
              <w:spacing w:line="360" w:lineRule="auto"/>
              <w:ind w:firstLine="420" w:firstLineChars="200"/>
              <w:rPr>
                <w:rFonts w:ascii="宋体" w:hAnsi="宋体" w:cs="宋体"/>
                <w:szCs w:val="21"/>
              </w:rPr>
            </w:pPr>
            <w:r>
              <w:rPr>
                <w:rFonts w:hint="eastAsia" w:ascii="宋体" w:hAnsi="宋体" w:cs="宋体"/>
                <w:szCs w:val="21"/>
              </w:rPr>
              <w:t>综合管理部根据需要随时网上获取、识别更新，并通过培训、宣传、会议等形式传达给员工和相关方，各部门如有需要随时到综合管理部查阅。</w:t>
            </w:r>
          </w:p>
        </w:tc>
        <w:tc>
          <w:tcPr>
            <w:tcW w:w="1585"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09" w:type="dxa"/>
            <w:vAlign w:val="center"/>
          </w:tcPr>
          <w:p>
            <w:pPr>
              <w:spacing w:line="360" w:lineRule="auto"/>
              <w:rPr>
                <w:rFonts w:ascii="宋体" w:hAnsi="宋体" w:cs="宋体"/>
                <w:szCs w:val="21"/>
              </w:rPr>
            </w:pPr>
            <w:r>
              <w:rPr>
                <w:rFonts w:hint="eastAsia" w:ascii="宋体" w:hAnsi="宋体" w:cs="宋体"/>
                <w:szCs w:val="21"/>
              </w:rPr>
              <w:t>措施的策划</w:t>
            </w:r>
          </w:p>
        </w:tc>
        <w:tc>
          <w:tcPr>
            <w:tcW w:w="1311" w:type="dxa"/>
          </w:tcPr>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rPr>
                <w:rFonts w:ascii="宋体" w:hAnsi="宋体" w:cs="宋体"/>
                <w:bCs/>
                <w:szCs w:val="21"/>
              </w:rPr>
            </w:pPr>
            <w:r>
              <w:rPr>
                <w:rFonts w:hint="eastAsia" w:ascii="宋体" w:hAnsi="宋体" w:cs="宋体"/>
                <w:bCs/>
                <w:szCs w:val="21"/>
              </w:rPr>
              <w:t>E6.1.4</w:t>
            </w:r>
          </w:p>
        </w:tc>
        <w:tc>
          <w:tcPr>
            <w:tcW w:w="10004" w:type="dxa"/>
            <w:vAlign w:val="center"/>
          </w:tcPr>
          <w:p>
            <w:pPr>
              <w:spacing w:line="360" w:lineRule="auto"/>
              <w:ind w:firstLine="420" w:firstLineChars="200"/>
              <w:rPr>
                <w:rFonts w:ascii="宋体" w:hAnsi="宋体" w:cs="宋体"/>
                <w:szCs w:val="21"/>
              </w:rPr>
            </w:pPr>
            <w:r>
              <w:rPr>
                <w:rFonts w:hint="eastAsia" w:ascii="宋体" w:hAnsi="宋体" w:cs="宋体"/>
                <w:szCs w:val="21"/>
              </w:rPr>
              <w:t>公司根据环境因素评价结果，制定出《重要环境因素清单》，清单内明确了控制措施计划，通过具体的措施进行有效控制：目标、管理方案、管理制度运行控制、应急预案、检查、培训。</w:t>
            </w:r>
          </w:p>
          <w:p>
            <w:pPr>
              <w:spacing w:line="360" w:lineRule="auto"/>
              <w:ind w:firstLine="420" w:firstLineChars="200"/>
              <w:rPr>
                <w:rFonts w:ascii="宋体" w:hAnsi="宋体" w:cs="宋体"/>
                <w:szCs w:val="21"/>
              </w:rPr>
            </w:pPr>
            <w:r>
              <w:rPr>
                <w:rFonts w:hint="eastAsia" w:ascii="宋体" w:hAnsi="宋体" w:cs="宋体"/>
                <w:szCs w:val="21"/>
              </w:rPr>
              <w:t>制定了《法律、法规和其他要求控制程序》、《合规性评价控制程序》，每年对公司适用的合规义务进行识别更新并定期评价、检查。</w:t>
            </w:r>
          </w:p>
          <w:p>
            <w:pPr>
              <w:tabs>
                <w:tab w:val="left" w:pos="6597"/>
              </w:tabs>
              <w:spacing w:line="360" w:lineRule="auto"/>
              <w:ind w:firstLine="420" w:firstLineChars="200"/>
              <w:rPr>
                <w:rFonts w:ascii="宋体" w:hAnsi="宋体" w:cs="宋体"/>
                <w:szCs w:val="21"/>
              </w:rPr>
            </w:pPr>
            <w:r>
              <w:rPr>
                <w:rFonts w:hint="eastAsia" w:ascii="宋体" w:hAnsi="宋体" w:cs="宋体"/>
                <w:szCs w:val="21"/>
              </w:rPr>
              <w:t>经组织评价，组织策划的措施基本能够满足风险和机遇应对需要，与潜在影响相适应，基本满足标准要求。</w:t>
            </w:r>
          </w:p>
        </w:tc>
        <w:tc>
          <w:tcPr>
            <w:tcW w:w="1585"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09" w:type="dxa"/>
            <w:vAlign w:val="center"/>
          </w:tcPr>
          <w:p>
            <w:pPr>
              <w:spacing w:line="360" w:lineRule="auto"/>
              <w:rPr>
                <w:rFonts w:ascii="宋体" w:hAnsi="宋体" w:cs="宋体"/>
                <w:szCs w:val="21"/>
              </w:rPr>
            </w:pPr>
            <w:r>
              <w:rPr>
                <w:rFonts w:hint="eastAsia" w:ascii="宋体" w:hAnsi="宋体" w:cs="宋体"/>
                <w:szCs w:val="21"/>
              </w:rPr>
              <w:t>合规性评价</w:t>
            </w:r>
          </w:p>
        </w:tc>
        <w:tc>
          <w:tcPr>
            <w:tcW w:w="1311" w:type="dxa"/>
            <w:vAlign w:val="center"/>
          </w:tcPr>
          <w:p>
            <w:pPr>
              <w:spacing w:line="360" w:lineRule="auto"/>
              <w:rPr>
                <w:rFonts w:ascii="宋体" w:hAnsi="宋体" w:cs="宋体"/>
                <w:szCs w:val="21"/>
              </w:rPr>
            </w:pPr>
            <w:r>
              <w:rPr>
                <w:rFonts w:hint="eastAsia" w:ascii="宋体" w:hAnsi="宋体" w:cs="宋体"/>
                <w:szCs w:val="21"/>
              </w:rPr>
              <w:t>E9.1.2</w:t>
            </w:r>
          </w:p>
        </w:tc>
        <w:tc>
          <w:tcPr>
            <w:tcW w:w="10004" w:type="dxa"/>
            <w:vAlign w:val="center"/>
          </w:tcPr>
          <w:p>
            <w:pPr>
              <w:spacing w:line="360" w:lineRule="auto"/>
              <w:ind w:firstLine="420" w:firstLineChars="200"/>
              <w:rPr>
                <w:rFonts w:ascii="宋体" w:hAnsi="宋体" w:cs="宋体"/>
                <w:szCs w:val="21"/>
              </w:rPr>
            </w:pPr>
            <w:r>
              <w:rPr>
                <w:rFonts w:hint="eastAsia" w:ascii="宋体" w:hAnsi="宋体" w:cs="宋体"/>
                <w:szCs w:val="21"/>
              </w:rPr>
              <w:t>现场提供了“202</w:t>
            </w:r>
            <w:r>
              <w:rPr>
                <w:rFonts w:hint="eastAsia" w:ascii="宋体" w:hAnsi="宋体" w:cs="宋体"/>
                <w:szCs w:val="21"/>
                <w:lang w:val="en-US" w:eastAsia="zh-CN"/>
              </w:rPr>
              <w:t>1</w:t>
            </w:r>
            <w:r>
              <w:rPr>
                <w:rFonts w:hint="eastAsia" w:ascii="宋体" w:hAnsi="宋体" w:cs="宋体"/>
                <w:szCs w:val="21"/>
              </w:rPr>
              <w:t>年度合规性评价报告”,对公司的废水排放、粉尘排放、噪声排放、固体废弃物排放、能（资）源使用、化学品管理、落后产能淘汰、消防安全管理、其它方面的国家、省市提出环境因素要求等方面进行了法律法规及其他要求的遵守情况进行了评价，评价结论为我公司没有违法国家法律、法规及相关标准，严格遵守国家有关环境方面的规定，密切关注法律法规的变化，并适时调整，严格按体系标准执行。公司和各部门都能够有效遵循法律法规进行施工，未发生重大安全生产事故，未发生环境扰民事件，无个人或单位投诉，无环境污染事件发生。</w:t>
            </w:r>
          </w:p>
          <w:p>
            <w:pPr>
              <w:spacing w:line="360" w:lineRule="auto"/>
              <w:rPr>
                <w:rFonts w:ascii="宋体" w:hAnsi="宋体" w:cs="宋体"/>
                <w:szCs w:val="21"/>
              </w:rPr>
            </w:pPr>
            <w:r>
              <w:rPr>
                <w:rFonts w:hint="eastAsia" w:ascii="宋体" w:hAnsi="宋体" w:cs="宋体"/>
                <w:szCs w:val="21"/>
              </w:rPr>
              <w:t xml:space="preserve">评审人：沙黑成、沙宏涛、吴知虎、张晓妮、庞军虎、陈天祥 </w:t>
            </w:r>
          </w:p>
          <w:p>
            <w:pPr>
              <w:spacing w:line="360" w:lineRule="auto"/>
              <w:rPr>
                <w:rFonts w:ascii="宋体" w:hAnsi="宋体" w:cs="宋体"/>
                <w:szCs w:val="21"/>
              </w:rPr>
            </w:pPr>
            <w:r>
              <w:rPr>
                <w:rFonts w:hint="eastAsia" w:ascii="宋体" w:hAnsi="宋体" w:cs="宋体"/>
                <w:szCs w:val="21"/>
              </w:rPr>
              <w:t>编制： 吴知虎   202</w:t>
            </w:r>
            <w:r>
              <w:rPr>
                <w:rFonts w:hint="eastAsia" w:ascii="宋体" w:hAnsi="宋体" w:cs="宋体"/>
                <w:szCs w:val="21"/>
                <w:lang w:val="en-US" w:eastAsia="zh-CN"/>
              </w:rPr>
              <w:t>1</w:t>
            </w:r>
            <w:r>
              <w:rPr>
                <w:rFonts w:hint="eastAsia" w:ascii="宋体" w:hAnsi="宋体" w:cs="宋体"/>
                <w:szCs w:val="21"/>
              </w:rPr>
              <w:t>.8.10       审批： 沙黑成 202</w:t>
            </w:r>
            <w:r>
              <w:rPr>
                <w:rFonts w:hint="eastAsia" w:ascii="宋体" w:hAnsi="宋体" w:cs="宋体"/>
                <w:szCs w:val="21"/>
                <w:lang w:val="en-US" w:eastAsia="zh-CN"/>
              </w:rPr>
              <w:t>1</w:t>
            </w:r>
            <w:r>
              <w:rPr>
                <w:rFonts w:hint="eastAsia" w:ascii="宋体" w:hAnsi="宋体" w:cs="宋体"/>
                <w:szCs w:val="21"/>
              </w:rPr>
              <w:t>.8.10</w:t>
            </w:r>
          </w:p>
        </w:tc>
        <w:tc>
          <w:tcPr>
            <w:tcW w:w="1585"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360" w:lineRule="auto"/>
              <w:rPr>
                <w:rFonts w:ascii="宋体" w:hAnsi="宋体" w:cs="宋体"/>
                <w:szCs w:val="21"/>
              </w:rPr>
            </w:pPr>
            <w:r>
              <w:rPr>
                <w:rFonts w:hint="eastAsia" w:ascii="宋体" w:hAnsi="宋体" w:cs="宋体"/>
                <w:szCs w:val="21"/>
              </w:rPr>
              <w:t>监视、测量、分析和评价</w:t>
            </w:r>
          </w:p>
        </w:tc>
        <w:tc>
          <w:tcPr>
            <w:tcW w:w="1311" w:type="dxa"/>
            <w:vAlign w:val="center"/>
          </w:tcPr>
          <w:p>
            <w:pPr>
              <w:tabs>
                <w:tab w:val="left" w:pos="6597"/>
              </w:tabs>
              <w:spacing w:line="360" w:lineRule="auto"/>
              <w:rPr>
                <w:rFonts w:ascii="宋体" w:hAnsi="宋体" w:cs="宋体"/>
                <w:bCs/>
                <w:szCs w:val="21"/>
              </w:rPr>
            </w:pPr>
            <w:r>
              <w:rPr>
                <w:rFonts w:hint="eastAsia" w:ascii="宋体" w:hAnsi="宋体" w:cs="宋体"/>
                <w:szCs w:val="21"/>
              </w:rPr>
              <w:t xml:space="preserve">E：9.1.1  </w:t>
            </w:r>
          </w:p>
        </w:tc>
        <w:tc>
          <w:tcPr>
            <w:tcW w:w="10004" w:type="dxa"/>
            <w:vAlign w:val="center"/>
          </w:tcPr>
          <w:p>
            <w:pPr>
              <w:spacing w:line="360" w:lineRule="auto"/>
              <w:rPr>
                <w:rFonts w:ascii="宋体" w:hAnsi="宋体" w:cs="宋体"/>
                <w:szCs w:val="21"/>
              </w:rPr>
            </w:pPr>
            <w:r>
              <w:rPr>
                <w:rFonts w:hint="eastAsia" w:ascii="宋体" w:hAnsi="宋体" w:cs="宋体"/>
                <w:szCs w:val="21"/>
              </w:rPr>
              <w:t>查到《202</w:t>
            </w:r>
            <w:r>
              <w:rPr>
                <w:rFonts w:hint="eastAsia" w:ascii="宋体" w:hAnsi="宋体" w:cs="宋体"/>
                <w:szCs w:val="21"/>
                <w:lang w:val="en-US" w:eastAsia="zh-CN"/>
              </w:rPr>
              <w:t>1</w:t>
            </w:r>
            <w:r>
              <w:rPr>
                <w:rFonts w:hint="eastAsia" w:ascii="宋体" w:hAnsi="宋体" w:cs="宋体"/>
                <w:szCs w:val="21"/>
              </w:rPr>
              <w:t>年目标指标统计表》，</w:t>
            </w:r>
            <w:r>
              <w:rPr>
                <w:rFonts w:hint="eastAsia" w:ascii="宋体" w:hAnsi="宋体" w:cs="宋体"/>
                <w:color w:val="000000"/>
                <w:szCs w:val="21"/>
              </w:rPr>
              <w:t>2021.1</w:t>
            </w:r>
            <w:r>
              <w:rPr>
                <w:rFonts w:hint="eastAsia" w:ascii="宋体" w:hAnsi="宋体" w:cs="宋体"/>
                <w:color w:val="000000"/>
                <w:szCs w:val="21"/>
                <w:lang w:val="en-US" w:eastAsia="zh-CN"/>
              </w:rPr>
              <w:t>2</w:t>
            </w:r>
            <w:r>
              <w:rPr>
                <w:rFonts w:hint="eastAsia" w:ascii="宋体" w:hAnsi="宋体" w:cs="宋体"/>
                <w:color w:val="000000"/>
                <w:szCs w:val="21"/>
              </w:rPr>
              <w:t>.</w:t>
            </w:r>
            <w:r>
              <w:rPr>
                <w:rFonts w:hint="eastAsia" w:ascii="宋体" w:hAnsi="宋体" w:cs="宋体"/>
                <w:color w:val="000000"/>
                <w:szCs w:val="21"/>
                <w:lang w:val="en-US" w:eastAsia="zh-CN"/>
              </w:rPr>
              <w:t>6</w:t>
            </w:r>
            <w:r>
              <w:rPr>
                <w:rFonts w:hint="eastAsia" w:ascii="宋体" w:hAnsi="宋体" w:cs="宋体"/>
                <w:szCs w:val="21"/>
              </w:rPr>
              <w:t>记录了公司环境目标完成情况，目标均已完成。</w:t>
            </w:r>
          </w:p>
          <w:p>
            <w:pPr>
              <w:widowControl/>
              <w:spacing w:line="360" w:lineRule="auto"/>
              <w:ind w:firstLine="420" w:firstLineChars="200"/>
              <w:jc w:val="left"/>
              <w:rPr>
                <w:rFonts w:ascii="宋体" w:hAnsi="宋体" w:cs="宋体"/>
                <w:szCs w:val="21"/>
              </w:rPr>
            </w:pPr>
            <w:r>
              <w:rPr>
                <w:rFonts w:hint="eastAsia" w:ascii="宋体" w:hAnsi="宋体" w:cs="宋体"/>
                <w:szCs w:val="21"/>
              </w:rPr>
              <w:t>提供《环保安全日常检查记录》，每月对各部门进行环境安全事项的例行检查，检查项目包括工作环境卫生、遵守制度规程、电器、设备检查保养、防护、三废处理、消防检查、节约用水用电、人员出勤、其它事项等。</w:t>
            </w:r>
          </w:p>
          <w:p>
            <w:pPr>
              <w:widowControl/>
              <w:spacing w:line="360" w:lineRule="auto"/>
              <w:ind w:left="480"/>
              <w:jc w:val="left"/>
              <w:rPr>
                <w:rFonts w:ascii="宋体" w:hAnsi="宋体" w:cs="宋体"/>
                <w:szCs w:val="21"/>
              </w:rPr>
            </w:pPr>
            <w:r>
              <w:rPr>
                <w:rFonts w:hint="eastAsia" w:ascii="宋体" w:hAnsi="宋体" w:cs="宋体"/>
                <w:szCs w:val="21"/>
              </w:rPr>
              <w:t>抽查 202</w:t>
            </w:r>
            <w:r>
              <w:rPr>
                <w:rFonts w:hint="eastAsia" w:ascii="宋体" w:hAnsi="宋体" w:cs="宋体"/>
                <w:szCs w:val="21"/>
                <w:lang w:val="en-US" w:eastAsia="zh-CN"/>
              </w:rPr>
              <w:t>1</w:t>
            </w:r>
            <w:r>
              <w:rPr>
                <w:rFonts w:hint="eastAsia" w:ascii="宋体" w:hAnsi="宋体" w:cs="宋体"/>
                <w:szCs w:val="21"/>
              </w:rPr>
              <w:t xml:space="preserve">年 </w:t>
            </w:r>
            <w:r>
              <w:rPr>
                <w:rFonts w:hint="eastAsia" w:ascii="宋体" w:hAnsi="宋体" w:cs="宋体"/>
                <w:szCs w:val="21"/>
                <w:lang w:val="en-US" w:eastAsia="zh-CN"/>
              </w:rPr>
              <w:t>三</w:t>
            </w:r>
            <w:r>
              <w:rPr>
                <w:rFonts w:hint="eastAsia" w:ascii="宋体" w:hAnsi="宋体" w:cs="宋体"/>
                <w:szCs w:val="21"/>
              </w:rPr>
              <w:t>季度，检查人：陈天祥。</w:t>
            </w:r>
          </w:p>
          <w:p>
            <w:pPr>
              <w:spacing w:line="360" w:lineRule="auto"/>
              <w:ind w:firstLine="420" w:firstLineChars="200"/>
              <w:rPr>
                <w:rFonts w:ascii="宋体" w:hAnsi="宋体"/>
                <w:bCs/>
                <w:szCs w:val="21"/>
              </w:rPr>
            </w:pPr>
            <w:r>
              <w:rPr>
                <w:rFonts w:hint="eastAsia" w:ascii="宋体" w:hAnsi="宋体" w:cs="宋体"/>
                <w:szCs w:val="21"/>
              </w:rPr>
              <w:t>查到，</w:t>
            </w:r>
            <w:r>
              <w:rPr>
                <w:rFonts w:hint="eastAsia" w:ascii="宋体" w:hAnsi="宋体"/>
                <w:bCs/>
                <w:szCs w:val="21"/>
              </w:rPr>
              <w:t>查到编号：</w:t>
            </w:r>
            <w:r>
              <w:rPr>
                <w:rFonts w:hint="eastAsia" w:ascii="宋体" w:hAnsi="宋体"/>
                <w:bCs/>
                <w:szCs w:val="21"/>
                <w:lang w:val="en-US" w:eastAsia="zh-CN"/>
              </w:rPr>
              <w:t>BLJC-HJ202104-003</w:t>
            </w:r>
            <w:r>
              <w:rPr>
                <w:rFonts w:hint="eastAsia" w:ascii="宋体" w:hAnsi="宋体"/>
                <w:bCs/>
                <w:szCs w:val="21"/>
              </w:rPr>
              <w:t>《监测报告》</w:t>
            </w:r>
            <w:r>
              <w:rPr>
                <w:rFonts w:hint="eastAsia" w:ascii="宋体" w:hAnsi="宋体"/>
                <w:bCs/>
                <w:szCs w:val="21"/>
                <w:lang w:val="en-US" w:eastAsia="zh-CN"/>
              </w:rPr>
              <w:t>,监测项目包含：有组织废气、无组织废气、噪声</w:t>
            </w:r>
            <w:r>
              <w:rPr>
                <w:rFonts w:hint="eastAsia" w:ascii="宋体" w:hAnsi="宋体"/>
                <w:bCs/>
                <w:szCs w:val="21"/>
              </w:rPr>
              <w:t>，报告日期202</w:t>
            </w:r>
            <w:r>
              <w:rPr>
                <w:rFonts w:hint="eastAsia" w:ascii="宋体" w:hAnsi="宋体"/>
                <w:bCs/>
                <w:szCs w:val="21"/>
                <w:lang w:val="en-US" w:eastAsia="zh-CN"/>
              </w:rPr>
              <w:t>1</w:t>
            </w:r>
            <w:r>
              <w:rPr>
                <w:rFonts w:hint="eastAsia" w:ascii="宋体" w:hAnsi="宋体"/>
                <w:bCs/>
                <w:szCs w:val="21"/>
              </w:rPr>
              <w:t>.</w:t>
            </w:r>
            <w:r>
              <w:rPr>
                <w:rFonts w:hint="eastAsia" w:ascii="宋体" w:hAnsi="宋体"/>
                <w:bCs/>
                <w:szCs w:val="21"/>
                <w:lang w:val="en-US" w:eastAsia="zh-CN"/>
              </w:rPr>
              <w:t>4</w:t>
            </w:r>
            <w:r>
              <w:rPr>
                <w:rFonts w:hint="eastAsia" w:ascii="宋体" w:hAnsi="宋体"/>
                <w:bCs/>
                <w:szCs w:val="21"/>
              </w:rPr>
              <w:t>.</w:t>
            </w:r>
            <w:r>
              <w:rPr>
                <w:rFonts w:hint="eastAsia" w:ascii="宋体" w:hAnsi="宋体"/>
                <w:bCs/>
                <w:szCs w:val="21"/>
                <w:lang w:val="en-US" w:eastAsia="zh-CN"/>
              </w:rPr>
              <w:t>1</w:t>
            </w:r>
            <w:r>
              <w:rPr>
                <w:rFonts w:hint="eastAsia" w:ascii="宋体" w:hAnsi="宋体"/>
                <w:bCs/>
                <w:szCs w:val="21"/>
              </w:rPr>
              <w:t>日，监测单位：陕西</w:t>
            </w:r>
            <w:r>
              <w:rPr>
                <w:rFonts w:hint="eastAsia" w:ascii="宋体" w:hAnsi="宋体"/>
                <w:bCs/>
                <w:szCs w:val="21"/>
                <w:lang w:val="en-US" w:eastAsia="zh-CN"/>
              </w:rPr>
              <w:t>本来</w:t>
            </w:r>
            <w:r>
              <w:rPr>
                <w:rFonts w:hint="eastAsia" w:ascii="宋体" w:hAnsi="宋体"/>
                <w:bCs/>
                <w:szCs w:val="21"/>
              </w:rPr>
              <w:t>检测科技有限公司，监测内容：</w:t>
            </w:r>
          </w:p>
          <w:p>
            <w:pPr>
              <w:spacing w:line="360" w:lineRule="auto"/>
              <w:ind w:left="420" w:leftChars="200"/>
              <w:rPr>
                <w:rFonts w:ascii="宋体" w:hAnsi="宋体"/>
                <w:bCs/>
                <w:szCs w:val="21"/>
              </w:rPr>
            </w:pPr>
            <w:r>
              <w:rPr>
                <w:rFonts w:hint="eastAsia" w:ascii="宋体" w:hAnsi="宋体"/>
                <w:bCs/>
                <w:szCs w:val="21"/>
              </w:rPr>
              <w:t>1.有组织废气</w:t>
            </w:r>
          </w:p>
          <w:p>
            <w:pPr>
              <w:numPr>
                <w:ilvl w:val="0"/>
                <w:numId w:val="4"/>
              </w:numPr>
              <w:spacing w:line="360" w:lineRule="auto"/>
              <w:ind w:firstLine="420" w:firstLineChars="200"/>
              <w:rPr>
                <w:rFonts w:ascii="宋体" w:hAnsi="宋体"/>
                <w:bCs/>
                <w:szCs w:val="21"/>
              </w:rPr>
            </w:pPr>
            <w:r>
              <w:rPr>
                <w:rFonts w:hint="eastAsia" w:ascii="宋体" w:hAnsi="宋体"/>
                <w:bCs/>
                <w:szCs w:val="21"/>
              </w:rPr>
              <w:t>监测点位:排气筒预留监测口</w:t>
            </w:r>
          </w:p>
          <w:p>
            <w:pPr>
              <w:numPr>
                <w:ilvl w:val="0"/>
                <w:numId w:val="4"/>
              </w:numPr>
              <w:spacing w:line="360" w:lineRule="auto"/>
              <w:ind w:firstLine="420" w:firstLineChars="200"/>
              <w:rPr>
                <w:rFonts w:ascii="宋体" w:hAnsi="宋体"/>
                <w:bCs/>
                <w:szCs w:val="21"/>
              </w:rPr>
            </w:pPr>
            <w:r>
              <w:rPr>
                <w:rFonts w:hint="eastAsia" w:ascii="宋体" w:hAnsi="宋体"/>
                <w:bCs/>
                <w:szCs w:val="21"/>
              </w:rPr>
              <w:t>监测项目:低浓度颗粒物</w:t>
            </w:r>
          </w:p>
          <w:p>
            <w:pPr>
              <w:numPr>
                <w:ilvl w:val="0"/>
                <w:numId w:val="4"/>
              </w:numPr>
              <w:spacing w:line="360" w:lineRule="auto"/>
              <w:ind w:firstLine="420" w:firstLineChars="200"/>
              <w:rPr>
                <w:rFonts w:ascii="宋体" w:hAnsi="宋体"/>
                <w:bCs/>
                <w:szCs w:val="21"/>
              </w:rPr>
            </w:pPr>
            <w:r>
              <w:rPr>
                <w:rFonts w:hint="eastAsia" w:ascii="宋体" w:hAnsi="宋体"/>
                <w:bCs/>
                <w:szCs w:val="21"/>
              </w:rPr>
              <w:t>监测频次：监测1天, 3次天</w:t>
            </w:r>
          </w:p>
          <w:p>
            <w:pPr>
              <w:numPr>
                <w:ilvl w:val="0"/>
                <w:numId w:val="4"/>
              </w:numPr>
              <w:spacing w:line="360" w:lineRule="auto"/>
              <w:ind w:firstLine="420" w:firstLineChars="200"/>
              <w:rPr>
                <w:rFonts w:ascii="宋体" w:hAnsi="宋体"/>
                <w:bCs/>
                <w:szCs w:val="21"/>
              </w:rPr>
            </w:pPr>
            <w:r>
              <w:rPr>
                <w:rFonts w:hint="eastAsia" w:ascii="宋体" w:hAnsi="宋体"/>
                <w:bCs/>
                <w:szCs w:val="21"/>
              </w:rPr>
              <w:t>评价标准: GB 16297-1996 《大气污染物排放标准》 (表2中二级标准限值）</w:t>
            </w:r>
          </w:p>
          <w:p>
            <w:pPr>
              <w:spacing w:line="360" w:lineRule="auto"/>
              <w:ind w:left="420" w:leftChars="200"/>
              <w:rPr>
                <w:rFonts w:ascii="宋体" w:hAnsi="宋体"/>
                <w:bCs/>
                <w:szCs w:val="21"/>
              </w:rPr>
            </w:pPr>
            <w:r>
              <w:rPr>
                <w:rFonts w:hint="eastAsia" w:ascii="宋体" w:hAnsi="宋体"/>
                <w:bCs/>
                <w:szCs w:val="21"/>
              </w:rPr>
              <w:t>2.无组织废气</w:t>
            </w:r>
          </w:p>
          <w:p>
            <w:pPr>
              <w:spacing w:line="360" w:lineRule="auto"/>
              <w:ind w:left="420" w:leftChars="200"/>
              <w:rPr>
                <w:rFonts w:ascii="宋体" w:hAnsi="宋体"/>
                <w:bCs/>
                <w:szCs w:val="21"/>
              </w:rPr>
            </w:pPr>
            <w:r>
              <w:rPr>
                <w:rFonts w:hint="eastAsia" w:ascii="宋体" w:hAnsi="宋体"/>
                <w:bCs/>
                <w:szCs w:val="21"/>
              </w:rPr>
              <w:t>1）监测点位:上风向1#,下风向2#、3#、4# (详见监测点位示意图)</w:t>
            </w:r>
          </w:p>
          <w:p>
            <w:pPr>
              <w:spacing w:line="360" w:lineRule="auto"/>
              <w:ind w:left="420" w:leftChars="200"/>
              <w:rPr>
                <w:rFonts w:ascii="宋体" w:hAnsi="宋体"/>
                <w:bCs/>
                <w:szCs w:val="21"/>
              </w:rPr>
            </w:pPr>
            <w:r>
              <w:rPr>
                <w:rFonts w:hint="eastAsia" w:ascii="宋体" w:hAnsi="宋体"/>
                <w:bCs/>
                <w:szCs w:val="21"/>
              </w:rPr>
              <w:t>2）监测项目：总悬浮颗粒物</w:t>
            </w:r>
          </w:p>
          <w:p>
            <w:pPr>
              <w:spacing w:line="360" w:lineRule="auto"/>
              <w:ind w:left="420" w:leftChars="200"/>
              <w:rPr>
                <w:rFonts w:ascii="宋体" w:hAnsi="宋体"/>
                <w:bCs/>
                <w:szCs w:val="21"/>
              </w:rPr>
            </w:pPr>
            <w:r>
              <w:rPr>
                <w:rFonts w:hint="eastAsia" w:ascii="宋体" w:hAnsi="宋体"/>
                <w:bCs/>
                <w:szCs w:val="21"/>
              </w:rPr>
              <w:t>3）监测频次:监测1天, 4次/天</w:t>
            </w:r>
          </w:p>
          <w:p>
            <w:pPr>
              <w:spacing w:line="360" w:lineRule="auto"/>
              <w:ind w:left="420" w:leftChars="200"/>
              <w:rPr>
                <w:rFonts w:ascii="宋体" w:hAnsi="宋体"/>
                <w:bCs/>
                <w:szCs w:val="21"/>
              </w:rPr>
            </w:pPr>
            <w:r>
              <w:rPr>
                <w:rFonts w:hint="eastAsia" w:ascii="宋体" w:hAnsi="宋体"/>
                <w:bCs/>
                <w:szCs w:val="21"/>
              </w:rPr>
              <w:t>4）评价标准: GB 16297-1996《大气污染物综合排放标准》 (表2中无组织标准限值)</w:t>
            </w:r>
          </w:p>
          <w:p>
            <w:pPr>
              <w:spacing w:line="360" w:lineRule="auto"/>
              <w:ind w:left="420" w:leftChars="200"/>
              <w:rPr>
                <w:rFonts w:ascii="宋体" w:hAnsi="宋体"/>
                <w:bCs/>
                <w:szCs w:val="21"/>
              </w:rPr>
            </w:pPr>
            <w:r>
              <w:rPr>
                <w:rFonts w:hint="eastAsia" w:ascii="宋体" w:hAnsi="宋体"/>
                <w:bCs/>
                <w:szCs w:val="21"/>
              </w:rPr>
              <w:t>3）噪声</w:t>
            </w:r>
          </w:p>
          <w:p>
            <w:pPr>
              <w:spacing w:line="360" w:lineRule="auto"/>
              <w:ind w:left="420" w:leftChars="200"/>
              <w:rPr>
                <w:rFonts w:ascii="宋体" w:hAnsi="宋体"/>
                <w:bCs/>
                <w:szCs w:val="21"/>
              </w:rPr>
            </w:pPr>
            <w:r>
              <w:rPr>
                <w:rFonts w:hint="eastAsia" w:ascii="宋体" w:hAnsi="宋体"/>
                <w:bCs/>
                <w:szCs w:val="21"/>
              </w:rPr>
              <w:t>1）监测点位:厂界四周各设一个监测点(1#-4、 5#) (详见监测点位示意图)</w:t>
            </w:r>
          </w:p>
          <w:p>
            <w:pPr>
              <w:spacing w:line="360" w:lineRule="auto"/>
              <w:ind w:firstLine="420" w:firstLineChars="200"/>
              <w:rPr>
                <w:rFonts w:ascii="宋体" w:hAnsi="宋体"/>
                <w:bCs/>
                <w:szCs w:val="21"/>
              </w:rPr>
            </w:pPr>
            <w:r>
              <w:rPr>
                <w:rFonts w:hint="eastAsia" w:ascii="宋体" w:hAnsi="宋体"/>
                <w:bCs/>
                <w:szCs w:val="21"/>
              </w:rPr>
              <w:t>2）监测项目:厂界噪声</w:t>
            </w:r>
          </w:p>
          <w:p>
            <w:pPr>
              <w:spacing w:line="360" w:lineRule="auto"/>
              <w:ind w:left="420" w:leftChars="200"/>
              <w:rPr>
                <w:rFonts w:ascii="宋体" w:hAnsi="宋体"/>
                <w:bCs/>
                <w:szCs w:val="21"/>
              </w:rPr>
            </w:pPr>
            <w:r>
              <w:rPr>
                <w:rFonts w:hint="eastAsia" w:ascii="宋体" w:hAnsi="宋体"/>
                <w:bCs/>
                <w:szCs w:val="21"/>
              </w:rPr>
              <w:t>3）监测频次:监测1天,昼夜各监测一次</w:t>
            </w:r>
          </w:p>
          <w:p>
            <w:pPr>
              <w:spacing w:line="360" w:lineRule="auto"/>
              <w:ind w:firstLine="420" w:firstLineChars="200"/>
              <w:rPr>
                <w:rFonts w:ascii="宋体" w:hAnsi="宋体"/>
                <w:bCs/>
                <w:szCs w:val="21"/>
              </w:rPr>
            </w:pPr>
            <w:r>
              <w:rPr>
                <w:rFonts w:hint="eastAsia" w:ascii="宋体" w:hAnsi="宋体"/>
                <w:bCs/>
                <w:szCs w:val="21"/>
              </w:rPr>
              <w:t>4）评价标准: GB12348-2008《工业企业厂界环境噪声排放标准》 (1#、2#、4#, 5#都属于2类, 3#属于4a类)</w:t>
            </w:r>
          </w:p>
          <w:p>
            <w:pPr>
              <w:spacing w:line="360" w:lineRule="auto"/>
              <w:ind w:firstLine="420" w:firstLineChars="200"/>
              <w:rPr>
                <w:rFonts w:ascii="宋体" w:hAnsi="宋体" w:cs="宋体"/>
                <w:szCs w:val="21"/>
              </w:rPr>
            </w:pPr>
            <w:r>
              <w:rPr>
                <w:rFonts w:hint="eastAsia" w:ascii="宋体" w:hAnsi="宋体"/>
                <w:bCs/>
                <w:szCs w:val="21"/>
              </w:rPr>
              <w:t>结果评价：依据标准要求对宝鸡市红星锻造责任有限公司进行废气监测有组织、无组织排放均符合GB 16297-1996 《大气污染物排放标准》的规定；厂界噪声结果符合GB12348-2008 《工业企业厂界环境噪声排放标准》的规定。</w:t>
            </w:r>
            <w:r>
              <w:rPr>
                <w:rFonts w:hint="eastAsia" w:ascii="宋体" w:hAnsi="宋体"/>
                <w:bCs/>
                <w:szCs w:val="21"/>
                <w:lang w:val="en-US" w:eastAsia="zh-CN"/>
              </w:rPr>
              <w:t>见附件。</w:t>
            </w:r>
          </w:p>
          <w:p>
            <w:pPr>
              <w:widowControl/>
              <w:spacing w:line="360" w:lineRule="auto"/>
              <w:jc w:val="left"/>
              <w:rPr>
                <w:rFonts w:hint="default" w:ascii="宋体" w:hAnsi="宋体" w:eastAsia="宋体" w:cs="宋体"/>
                <w:szCs w:val="21"/>
                <w:lang w:val="en-US" w:eastAsia="zh-CN"/>
              </w:rPr>
            </w:pPr>
            <w:r>
              <w:rPr>
                <w:rFonts w:hint="eastAsia" w:ascii="宋体" w:hAnsi="宋体" w:cs="宋体"/>
                <w:szCs w:val="21"/>
              </w:rPr>
              <w:t>经交流公司无用于环境监测的设备。</w:t>
            </w:r>
          </w:p>
        </w:tc>
        <w:tc>
          <w:tcPr>
            <w:tcW w:w="1585"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1809" w:type="dxa"/>
            <w:vAlign w:val="center"/>
          </w:tcPr>
          <w:p>
            <w:pPr>
              <w:spacing w:line="360" w:lineRule="auto"/>
              <w:rPr>
                <w:rFonts w:ascii="宋体" w:hAnsi="宋体" w:cs="宋体"/>
                <w:szCs w:val="21"/>
              </w:rPr>
            </w:pPr>
            <w:r>
              <w:rPr>
                <w:rFonts w:hint="eastAsia" w:ascii="宋体" w:hAnsi="宋体" w:cs="宋体"/>
                <w:szCs w:val="21"/>
              </w:rPr>
              <w:t>运行策划和控制、</w:t>
            </w:r>
          </w:p>
        </w:tc>
        <w:tc>
          <w:tcPr>
            <w:tcW w:w="1311" w:type="dxa"/>
            <w:vAlign w:val="center"/>
          </w:tcPr>
          <w:p>
            <w:pPr>
              <w:spacing w:line="360" w:lineRule="auto"/>
              <w:rPr>
                <w:rFonts w:ascii="宋体" w:hAnsi="宋体" w:cs="宋体"/>
                <w:szCs w:val="21"/>
              </w:rPr>
            </w:pPr>
            <w:r>
              <w:rPr>
                <w:rFonts w:hint="eastAsia" w:ascii="宋体" w:hAnsi="宋体" w:cs="宋体"/>
                <w:bCs/>
                <w:szCs w:val="21"/>
              </w:rPr>
              <w:t>E</w:t>
            </w:r>
            <w:r>
              <w:rPr>
                <w:rFonts w:hint="eastAsia" w:ascii="宋体" w:hAnsi="宋体" w:cs="宋体"/>
                <w:szCs w:val="21"/>
              </w:rPr>
              <w:t xml:space="preserve">8.1  </w:t>
            </w:r>
          </w:p>
        </w:tc>
        <w:tc>
          <w:tcPr>
            <w:tcW w:w="10004" w:type="dxa"/>
            <w:vAlign w:val="center"/>
          </w:tcPr>
          <w:p>
            <w:pPr>
              <w:spacing w:line="360" w:lineRule="auto"/>
              <w:ind w:firstLine="420" w:firstLineChars="200"/>
            </w:pPr>
            <w:r>
              <w:rPr>
                <w:rFonts w:hint="eastAsia"/>
              </w:rPr>
              <w:t>公司制定并实施了《环境管理控制程序》、《固体废弃物污染防治控制程序》、《废水污染防治控制程序》、《废气防治污染控制程序》、《噪声防治污染控制程序》、《能源资源管理控制程序》、《危险化学品管理控制程序》、《环保设备设施运行控制程序》等环境管理程序。</w:t>
            </w:r>
            <w:bookmarkStart w:id="1" w:name="_GoBack"/>
            <w:bookmarkEnd w:id="1"/>
          </w:p>
          <w:p>
            <w:pPr>
              <w:spacing w:line="360" w:lineRule="auto"/>
              <w:ind w:firstLine="420" w:firstLineChars="200"/>
            </w:pPr>
            <w:r>
              <w:rPr>
                <w:rFonts w:hint="eastAsia"/>
              </w:rPr>
              <w:t>查到2016年10月 《宝鸡市红星锻造有限责任公司重卡配套用超强高韧锻件加工项目现状环境影响评估表》，  编制单位：广州环发环保工程有限公司；</w:t>
            </w:r>
          </w:p>
          <w:p>
            <w:pPr>
              <w:spacing w:line="360" w:lineRule="auto"/>
              <w:ind w:firstLine="420" w:firstLineChars="200"/>
            </w:pPr>
            <w:r>
              <w:rPr>
                <w:rFonts w:hint="eastAsia"/>
              </w:rPr>
              <w:t>查到2016.11.22 高新环函[2016]144号《宝鸡市环境保护局高新分局关于重卡配套用超强高韧锻件加工项目环境影响报告表的批复》；</w:t>
            </w:r>
          </w:p>
          <w:p>
            <w:pPr>
              <w:spacing w:line="360" w:lineRule="auto"/>
              <w:ind w:firstLine="420" w:firstLineChars="200"/>
            </w:pPr>
            <w:r>
              <w:rPr>
                <w:rFonts w:hint="eastAsia"/>
              </w:rPr>
              <w:t>查到2018年7月 《宝鸡市红星锻造有限责任公司重卡配套用超强高韧锻件加工项目竣工环境保护验收报告表》，  编制单位：陕西聚光环保科技有限公司；</w:t>
            </w:r>
          </w:p>
          <w:p>
            <w:pPr>
              <w:pStyle w:val="4"/>
              <w:spacing w:line="360" w:lineRule="auto"/>
              <w:ind w:left="0" w:firstLine="210" w:firstLineChars="100"/>
            </w:pPr>
            <w:r>
              <w:rPr>
                <w:rFonts w:hint="eastAsia"/>
              </w:rPr>
              <w:t xml:space="preserve"> 该公司的产品生产工艺为原料经切割、加热、锻造、机加工、热处理、抛丸等加工后检验合格入库。</w:t>
            </w:r>
          </w:p>
          <w:p>
            <w:pPr>
              <w:pStyle w:val="4"/>
              <w:spacing w:line="360" w:lineRule="auto"/>
              <w:ind w:left="0" w:firstLine="210" w:firstLineChars="100"/>
            </w:pPr>
            <w:r>
              <w:rPr>
                <w:rFonts w:hint="eastAsia"/>
              </w:rPr>
              <w:t>废水综合措施：生产过程中冷却用水经冷却塔循环使用不外排;生活污水经化粪池收集处理后，定期清掏用于农灌，不外排。</w:t>
            </w:r>
          </w:p>
          <w:p>
            <w:pPr>
              <w:pStyle w:val="4"/>
              <w:spacing w:line="360" w:lineRule="auto"/>
              <w:ind w:left="0" w:firstLine="210" w:firstLineChars="100"/>
            </w:pPr>
            <w:r>
              <w:rPr>
                <w:rFonts w:hint="eastAsia"/>
              </w:rPr>
              <w:t>废气综合措施：抛丸工序采用布袋式除尘器处理后，通过15m高的排气筒排放，符合GB16297-1996《大气污染物综合排放标准》中的二级标准。严格采取措施控制生产过程中的无组织排放现象。</w:t>
            </w:r>
          </w:p>
          <w:p>
            <w:pPr>
              <w:pStyle w:val="4"/>
              <w:spacing w:line="360" w:lineRule="auto"/>
              <w:ind w:left="0" w:firstLine="210" w:firstLineChars="100"/>
            </w:pPr>
            <w:r>
              <w:rPr>
                <w:rFonts w:hint="eastAsia"/>
              </w:rPr>
              <w:t>噪声综合措施：合理设置厂房、设备布局，选择高性能低噪音设备，厂房设置隔声窗和隔音门，空气锤、压力机安装基础减震设施。</w:t>
            </w:r>
          </w:p>
          <w:p>
            <w:pPr>
              <w:pStyle w:val="4"/>
              <w:spacing w:line="360" w:lineRule="auto"/>
              <w:ind w:left="0" w:firstLine="210" w:firstLineChars="100"/>
            </w:pPr>
            <w:r>
              <w:rPr>
                <w:rFonts w:hint="eastAsia"/>
              </w:rPr>
              <w:t>固体废物处理：废机油等危险废物严格按照《危险废物贮存污染控制标准》等相关管理规范进行贮存处置，交由有资质单位处理;边角料、抛光产生的粉尘等固体废物严格按照相关规定处量，执行《一般工业固体废物贮存、处置场污染控制标准》，统一收集后外售;生活垃圾收集后由环卫部门统一收集处置。</w:t>
            </w:r>
          </w:p>
          <w:p>
            <w:pPr>
              <w:spacing w:line="360" w:lineRule="auto"/>
            </w:pPr>
            <w:r>
              <w:rPr>
                <w:rFonts w:hint="eastAsia"/>
              </w:rPr>
              <w:drawing>
                <wp:anchor distT="0" distB="0" distL="114300" distR="114300" simplePos="0" relativeHeight="251663360" behindDoc="0" locked="0" layoutInCell="1" allowOverlap="1">
                  <wp:simplePos x="0" y="0"/>
                  <wp:positionH relativeFrom="column">
                    <wp:posOffset>1936750</wp:posOffset>
                  </wp:positionH>
                  <wp:positionV relativeFrom="paragraph">
                    <wp:posOffset>295910</wp:posOffset>
                  </wp:positionV>
                  <wp:extent cx="1964690" cy="2966720"/>
                  <wp:effectExtent l="0" t="0" r="3810" b="5080"/>
                  <wp:wrapNone/>
                  <wp:docPr id="19" name="图片 19" descr="e0ee6dd38734a0a679039713dafc4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e0ee6dd38734a0a679039713dafc4db"/>
                          <pic:cNvPicPr>
                            <a:picLocks noChangeAspect="1"/>
                          </pic:cNvPicPr>
                        </pic:nvPicPr>
                        <pic:blipFill>
                          <a:blip r:embed="rId6"/>
                          <a:stretch>
                            <a:fillRect/>
                          </a:stretch>
                        </pic:blipFill>
                        <pic:spPr>
                          <a:xfrm>
                            <a:off x="0" y="0"/>
                            <a:ext cx="1964690" cy="2966720"/>
                          </a:xfrm>
                          <a:prstGeom prst="rect">
                            <a:avLst/>
                          </a:prstGeom>
                        </pic:spPr>
                      </pic:pic>
                    </a:graphicData>
                  </a:graphic>
                </wp:anchor>
              </w:drawing>
            </w:r>
            <w:r>
              <w:rPr>
                <w:rFonts w:hint="eastAsia"/>
              </w:rPr>
              <w:t>查到，与陕西明瑞资源再生有限公司签订了危险废物处置合同</w:t>
            </w:r>
            <w:r>
              <w:rPr>
                <w:rFonts w:hint="eastAsia"/>
                <w:lang w:val="en-US" w:eastAsia="zh-CN"/>
              </w:rPr>
              <w:t>合同有效期2022年7月</w:t>
            </w:r>
            <w:r>
              <w:rPr>
                <w:rFonts w:hint="eastAsia"/>
              </w:rPr>
              <w:t>，处理方有处理资质。</w:t>
            </w:r>
          </w:p>
          <w:p>
            <w:pPr>
              <w:spacing w:line="360" w:lineRule="auto"/>
            </w:pPr>
            <w:r>
              <w:rPr>
                <w:rFonts w:hint="eastAsia"/>
              </w:rPr>
              <w:drawing>
                <wp:anchor distT="0" distB="0" distL="114300" distR="114300" simplePos="0" relativeHeight="251661312" behindDoc="0" locked="0" layoutInCell="1" allowOverlap="1">
                  <wp:simplePos x="0" y="0"/>
                  <wp:positionH relativeFrom="column">
                    <wp:posOffset>4102100</wp:posOffset>
                  </wp:positionH>
                  <wp:positionV relativeFrom="paragraph">
                    <wp:posOffset>10795</wp:posOffset>
                  </wp:positionV>
                  <wp:extent cx="1798955" cy="2914650"/>
                  <wp:effectExtent l="0" t="0" r="4445" b="6350"/>
                  <wp:wrapNone/>
                  <wp:docPr id="7" name="图片 7" descr="ffeaf2ed10985a740613f2a902d7f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feaf2ed10985a740613f2a902d7f3d"/>
                          <pic:cNvPicPr>
                            <a:picLocks noChangeAspect="1"/>
                          </pic:cNvPicPr>
                        </pic:nvPicPr>
                        <pic:blipFill>
                          <a:blip r:embed="rId7"/>
                          <a:stretch>
                            <a:fillRect/>
                          </a:stretch>
                        </pic:blipFill>
                        <pic:spPr>
                          <a:xfrm>
                            <a:off x="0" y="0"/>
                            <a:ext cx="1798955" cy="2914650"/>
                          </a:xfrm>
                          <a:prstGeom prst="rect">
                            <a:avLst/>
                          </a:prstGeom>
                        </pic:spPr>
                      </pic:pic>
                    </a:graphicData>
                  </a:graphic>
                </wp:anchor>
              </w:drawing>
            </w:r>
            <w:r>
              <w:rPr>
                <w:rFonts w:hint="eastAsia"/>
              </w:rPr>
              <w:drawing>
                <wp:anchor distT="0" distB="0" distL="114300" distR="114300" simplePos="0" relativeHeight="251662336" behindDoc="0" locked="0" layoutInCell="1" allowOverlap="1">
                  <wp:simplePos x="0" y="0"/>
                  <wp:positionH relativeFrom="column">
                    <wp:posOffset>-6350</wp:posOffset>
                  </wp:positionH>
                  <wp:positionV relativeFrom="paragraph">
                    <wp:posOffset>10795</wp:posOffset>
                  </wp:positionV>
                  <wp:extent cx="1723390" cy="2964180"/>
                  <wp:effectExtent l="0" t="0" r="3810" b="7620"/>
                  <wp:wrapNone/>
                  <wp:docPr id="8" name="图片 8" descr="35a2e1bf684c0118dec5c368114e3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5a2e1bf684c0118dec5c368114e33a"/>
                          <pic:cNvPicPr>
                            <a:picLocks noChangeAspect="1"/>
                          </pic:cNvPicPr>
                        </pic:nvPicPr>
                        <pic:blipFill>
                          <a:blip r:embed="rId8"/>
                          <a:stretch>
                            <a:fillRect/>
                          </a:stretch>
                        </pic:blipFill>
                        <pic:spPr>
                          <a:xfrm>
                            <a:off x="0" y="0"/>
                            <a:ext cx="1723390" cy="2964180"/>
                          </a:xfrm>
                          <a:prstGeom prst="rect">
                            <a:avLst/>
                          </a:prstGeom>
                        </pic:spPr>
                      </pic:pic>
                    </a:graphicData>
                  </a:graphic>
                </wp:anchor>
              </w:drawing>
            </w:r>
          </w:p>
          <w:p>
            <w:pPr>
              <w:spacing w:line="360" w:lineRule="auto"/>
            </w:pPr>
          </w:p>
          <w:p>
            <w:pPr>
              <w:spacing w:line="360" w:lineRule="auto"/>
            </w:pPr>
          </w:p>
          <w:p>
            <w:pPr>
              <w:spacing w:line="360" w:lineRule="auto"/>
            </w:pPr>
          </w:p>
          <w:p>
            <w:pPr>
              <w:spacing w:line="360" w:lineRule="auto"/>
            </w:pPr>
          </w:p>
          <w:p>
            <w:pPr>
              <w:spacing w:line="360" w:lineRule="auto"/>
            </w:pPr>
          </w:p>
          <w:p>
            <w:pPr>
              <w:pStyle w:val="3"/>
              <w:spacing w:line="360" w:lineRule="auto"/>
            </w:pPr>
          </w:p>
          <w:p>
            <w:pPr>
              <w:pStyle w:val="4"/>
              <w:spacing w:line="360" w:lineRule="auto"/>
            </w:pPr>
          </w:p>
          <w:p>
            <w:pPr>
              <w:pStyle w:val="4"/>
              <w:spacing w:line="360" w:lineRule="auto"/>
            </w:pPr>
          </w:p>
          <w:p>
            <w:pPr>
              <w:pStyle w:val="4"/>
              <w:spacing w:line="360" w:lineRule="auto"/>
            </w:pPr>
          </w:p>
          <w:p>
            <w:pPr>
              <w:spacing w:line="360" w:lineRule="auto"/>
            </w:pPr>
            <w:r>
              <w:rPr>
                <w:rFonts w:hint="eastAsia"/>
              </w:rPr>
              <w:t>提供，《危险废物转移联单》，202</w:t>
            </w:r>
            <w:r>
              <w:rPr>
                <w:rFonts w:hint="eastAsia"/>
                <w:lang w:val="en-US" w:eastAsia="zh-CN"/>
              </w:rPr>
              <w:t>1</w:t>
            </w:r>
            <w:r>
              <w:rPr>
                <w:rFonts w:hint="eastAsia"/>
              </w:rPr>
              <w:t>.8.</w:t>
            </w:r>
            <w:r>
              <w:rPr>
                <w:rFonts w:hint="eastAsia"/>
                <w:lang w:val="en-US" w:eastAsia="zh-CN"/>
              </w:rPr>
              <w:t>25</w:t>
            </w:r>
            <w:r>
              <w:rPr>
                <w:rFonts w:hint="eastAsia"/>
              </w:rPr>
              <w:t>运废矿物油与含矿物油废物0.8吨。</w:t>
            </w:r>
          </w:p>
          <w:p>
            <w:pPr>
              <w:spacing w:line="360" w:lineRule="auto"/>
            </w:pPr>
            <w:r>
              <w:rPr>
                <w:rFonts w:hint="eastAsia"/>
              </w:rPr>
              <w:t>对可回收的固体废弃物，一部分由厂家回收，厂家不回收的公司统一回收再利用或由物资回收公司处理。不可回收的废弃物由公司综合管理部统一处理，各部门不得单独处理。</w:t>
            </w:r>
          </w:p>
          <w:p>
            <w:pPr>
              <w:spacing w:line="360" w:lineRule="auto"/>
            </w:pPr>
          </w:p>
          <w:p>
            <w:pPr>
              <w:spacing w:line="360" w:lineRule="auto"/>
              <w:ind w:firstLine="420" w:firstLineChars="200"/>
            </w:pPr>
            <w:r>
              <w:rPr>
                <w:rFonts w:hint="eastAsia"/>
              </w:rPr>
              <w:t>宝鸡市红星锻造有限责任公司位于</w:t>
            </w:r>
            <w:bookmarkStart w:id="0" w:name="生产地址"/>
            <w:r>
              <w:rPr>
                <w:rFonts w:hint="eastAsia"/>
              </w:rPr>
              <w:t>宝鸡市高新区钓渭镇朱家滩村，</w:t>
            </w:r>
            <w:bookmarkEnd w:id="0"/>
            <w:r>
              <w:rPr>
                <w:rFonts w:hint="eastAsia"/>
              </w:rPr>
              <w:t>根据需要建设有办公室、车间、仓库，厂区有停车位等。</w:t>
            </w:r>
          </w:p>
          <w:p>
            <w:pPr>
              <w:spacing w:line="360" w:lineRule="auto"/>
              <w:ind w:firstLine="420" w:firstLineChars="200"/>
            </w:pPr>
            <w:r>
              <w:rPr>
                <w:rFonts w:hint="eastAsia"/>
              </w:rPr>
              <w:t>按公司要求人走关灯，综合管理部内电脑要求人走后电源切断。综合管理部内垃圾主要包含可回收垃圾、硒鼓、废纸。公司配置了垃圾箱，综合管理部统一处理。</w:t>
            </w:r>
          </w:p>
          <w:p>
            <w:pPr>
              <w:spacing w:line="360" w:lineRule="auto"/>
            </w:pPr>
            <w:r>
              <w:rPr>
                <w:rFonts w:hint="eastAsia"/>
              </w:rPr>
              <w:t>危废暂存危废间，有防渗、防漏装置，查到有《危险废物管理制度》、《危废仓库管理制度》《危险废物染污防治责任信息概述》等管理制度。提供，《危险废物台账》。</w:t>
            </w:r>
          </w:p>
          <w:p>
            <w:pPr>
              <w:pStyle w:val="4"/>
              <w:ind w:left="0" w:firstLine="420" w:firstLineChars="200"/>
              <w:rPr>
                <w:rFonts w:ascii="宋体" w:hAnsi="宋体" w:cs="宋体"/>
                <w:szCs w:val="21"/>
              </w:rPr>
            </w:pPr>
            <w:r>
              <w:rPr>
                <w:rFonts w:hint="eastAsia" w:ascii="宋体" w:hAnsi="宋体" w:cs="宋体"/>
                <w:szCs w:val="21"/>
              </w:rPr>
              <w:drawing>
                <wp:anchor distT="0" distB="0" distL="114300" distR="114300" simplePos="0" relativeHeight="251664384" behindDoc="0" locked="0" layoutInCell="1" allowOverlap="1">
                  <wp:simplePos x="0" y="0"/>
                  <wp:positionH relativeFrom="column">
                    <wp:posOffset>1630680</wp:posOffset>
                  </wp:positionH>
                  <wp:positionV relativeFrom="paragraph">
                    <wp:posOffset>-414655</wp:posOffset>
                  </wp:positionV>
                  <wp:extent cx="2063750" cy="3470275"/>
                  <wp:effectExtent l="0" t="0" r="9525" b="6350"/>
                  <wp:wrapNone/>
                  <wp:docPr id="20" name="图片 20" descr="810054c7b53e0c439b1a0dac5a0d3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810054c7b53e0c439b1a0dac5a0d3a6"/>
                          <pic:cNvPicPr>
                            <a:picLocks noChangeAspect="1"/>
                          </pic:cNvPicPr>
                        </pic:nvPicPr>
                        <pic:blipFill>
                          <a:blip r:embed="rId9"/>
                          <a:srcRect r="12342" b="10044"/>
                          <a:stretch>
                            <a:fillRect/>
                          </a:stretch>
                        </pic:blipFill>
                        <pic:spPr>
                          <a:xfrm rot="16200000">
                            <a:off x="0" y="0"/>
                            <a:ext cx="2063750" cy="3470275"/>
                          </a:xfrm>
                          <a:prstGeom prst="rect">
                            <a:avLst/>
                          </a:prstGeom>
                        </pic:spPr>
                      </pic:pic>
                    </a:graphicData>
                  </a:graphic>
                </wp:anchor>
              </w:drawing>
            </w:r>
            <w:r>
              <w:rPr>
                <w:rFonts w:hint="eastAsia"/>
              </w:rPr>
              <w:t>生活污水经化粪池简单处理后排入市政污水管网，</w:t>
            </w:r>
            <w:r>
              <w:rPr>
                <w:rFonts w:hint="eastAsia" w:ascii="宋体" w:hAnsi="宋体" w:cs="宋体"/>
                <w:szCs w:val="21"/>
              </w:rPr>
              <w:t>提供编号：916103017738064798001P 《固定污染源排污登记表》</w:t>
            </w:r>
          </w:p>
          <w:p>
            <w:pPr>
              <w:spacing w:line="360" w:lineRule="auto"/>
            </w:pPr>
          </w:p>
          <w:p>
            <w:pPr>
              <w:spacing w:line="360" w:lineRule="auto"/>
            </w:pPr>
          </w:p>
          <w:p>
            <w:pPr>
              <w:spacing w:line="360" w:lineRule="auto"/>
            </w:pPr>
          </w:p>
          <w:p>
            <w:pPr>
              <w:spacing w:line="360" w:lineRule="auto"/>
            </w:pPr>
          </w:p>
          <w:p>
            <w:pPr>
              <w:pStyle w:val="3"/>
            </w:pPr>
          </w:p>
          <w:p>
            <w:pPr>
              <w:spacing w:line="360" w:lineRule="auto"/>
            </w:pPr>
          </w:p>
          <w:p>
            <w:pPr>
              <w:pStyle w:val="3"/>
            </w:pPr>
          </w:p>
          <w:p>
            <w:pPr>
              <w:spacing w:line="360" w:lineRule="auto"/>
            </w:pPr>
            <w:r>
              <w:rPr>
                <w:rFonts w:hint="eastAsia"/>
              </w:rPr>
              <w:t>综合管理部内主要是电的使用，电器有漏电保护器，经常对电路、电源进行检查，没有露电现象发生。现场巡视办公区域灭火器正常，电线、电气插座完整，未见破损。</w:t>
            </w:r>
          </w:p>
          <w:p>
            <w:pPr>
              <w:spacing w:line="360" w:lineRule="auto"/>
              <w:rPr>
                <w:rFonts w:ascii="宋体" w:hAnsi="宋体" w:cs="宋体"/>
                <w:szCs w:val="21"/>
              </w:rPr>
            </w:pPr>
            <w:r>
              <w:rPr>
                <w:rFonts w:hint="eastAsia"/>
              </w:rPr>
              <w:t>部门运行控制能结合产品生命周期方法，基本符合规定要求。</w:t>
            </w:r>
          </w:p>
          <w:p>
            <w:pPr>
              <w:spacing w:line="360" w:lineRule="auto"/>
              <w:rPr>
                <w:rFonts w:ascii="宋体" w:hAnsi="宋体" w:cs="宋体"/>
                <w:szCs w:val="21"/>
              </w:rPr>
            </w:pPr>
            <w:r>
              <w:rPr>
                <w:rFonts w:hint="eastAsia"/>
              </w:rPr>
              <w:t>综合管理部部门运行控制基本符合规定要求。</w:t>
            </w:r>
          </w:p>
        </w:tc>
        <w:tc>
          <w:tcPr>
            <w:tcW w:w="1585"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4" w:hRule="atLeast"/>
        </w:trPr>
        <w:tc>
          <w:tcPr>
            <w:tcW w:w="1809" w:type="dxa"/>
            <w:vAlign w:val="center"/>
          </w:tcPr>
          <w:p>
            <w:pPr>
              <w:spacing w:line="360" w:lineRule="auto"/>
              <w:rPr>
                <w:rFonts w:ascii="宋体" w:hAnsi="宋体" w:cs="宋体"/>
                <w:bCs/>
                <w:szCs w:val="21"/>
              </w:rPr>
            </w:pPr>
            <w:r>
              <w:rPr>
                <w:rFonts w:hint="eastAsia" w:ascii="宋体" w:hAnsi="宋体" w:cs="宋体"/>
                <w:szCs w:val="21"/>
              </w:rPr>
              <w:t>应急准备和响应</w:t>
            </w:r>
          </w:p>
          <w:p>
            <w:pPr>
              <w:spacing w:line="360" w:lineRule="auto"/>
              <w:rPr>
                <w:rFonts w:ascii="宋体" w:hAnsi="宋体" w:cs="宋体"/>
                <w:szCs w:val="21"/>
              </w:rPr>
            </w:pPr>
          </w:p>
        </w:tc>
        <w:tc>
          <w:tcPr>
            <w:tcW w:w="1311" w:type="dxa"/>
          </w:tcPr>
          <w:p>
            <w:pPr>
              <w:spacing w:line="360" w:lineRule="auto"/>
              <w:rPr>
                <w:rFonts w:ascii="宋体" w:hAnsi="宋体" w:cs="宋体"/>
                <w:bCs/>
                <w:szCs w:val="21"/>
              </w:rPr>
            </w:pPr>
          </w:p>
          <w:p>
            <w:pPr>
              <w:pStyle w:val="4"/>
              <w:spacing w:line="360" w:lineRule="auto"/>
              <w:ind w:left="0"/>
              <w:rPr>
                <w:rFonts w:ascii="宋体" w:hAnsi="宋体" w:cs="宋体"/>
                <w:szCs w:val="21"/>
              </w:rPr>
            </w:pPr>
          </w:p>
          <w:p>
            <w:pPr>
              <w:spacing w:line="360" w:lineRule="auto"/>
              <w:rPr>
                <w:rFonts w:ascii="宋体" w:hAnsi="宋体" w:cs="宋体"/>
                <w:bCs/>
                <w:szCs w:val="21"/>
              </w:rPr>
            </w:pPr>
            <w:r>
              <w:rPr>
                <w:rFonts w:hint="eastAsia" w:ascii="宋体" w:hAnsi="宋体" w:cs="宋体"/>
                <w:bCs/>
                <w:szCs w:val="21"/>
              </w:rPr>
              <w:t>E：</w:t>
            </w:r>
            <w:r>
              <w:rPr>
                <w:rFonts w:hint="eastAsia" w:ascii="宋体" w:hAnsi="宋体" w:cs="宋体"/>
                <w:szCs w:val="21"/>
              </w:rPr>
              <w:t>8.2</w:t>
            </w:r>
          </w:p>
          <w:p>
            <w:pPr>
              <w:spacing w:line="360" w:lineRule="auto"/>
              <w:rPr>
                <w:rFonts w:ascii="宋体" w:hAnsi="宋体" w:cs="宋体"/>
                <w:bCs/>
                <w:szCs w:val="21"/>
              </w:rPr>
            </w:pPr>
          </w:p>
          <w:p>
            <w:pPr>
              <w:spacing w:line="360" w:lineRule="auto"/>
              <w:rPr>
                <w:rFonts w:ascii="宋体" w:hAnsi="宋体" w:cs="宋体"/>
                <w:bCs/>
                <w:szCs w:val="21"/>
              </w:rPr>
            </w:pP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提供了《应急准备和响应控制程序》、《火灾事故专项应急预案》，其中包括目的、适用范围、职责、应急领导小组成员职责、程序、现场应急措施、应急保障等，相关内容基本充分。</w:t>
            </w:r>
          </w:p>
          <w:p>
            <w:pPr>
              <w:spacing w:line="360" w:lineRule="auto"/>
              <w:ind w:firstLine="420" w:firstLineChars="200"/>
              <w:rPr>
                <w:rFonts w:ascii="宋体" w:hAnsi="宋体" w:cs="宋体"/>
                <w:szCs w:val="21"/>
              </w:rPr>
            </w:pPr>
            <w:r>
              <w:rPr>
                <w:rFonts w:hint="eastAsia" w:ascii="宋体" w:hAnsi="宋体" w:cs="宋体"/>
                <w:szCs w:val="21"/>
              </w:rPr>
              <w:t>查到《消防应急预案演练记录》，202</w:t>
            </w:r>
            <w:r>
              <w:rPr>
                <w:rFonts w:hint="eastAsia" w:ascii="宋体" w:hAnsi="宋体" w:cs="宋体"/>
                <w:szCs w:val="21"/>
                <w:lang w:val="en-US" w:eastAsia="zh-CN"/>
              </w:rPr>
              <w:t>1</w:t>
            </w:r>
            <w:r>
              <w:rPr>
                <w:rFonts w:hint="eastAsia" w:ascii="宋体" w:hAnsi="宋体" w:cs="宋体"/>
                <w:szCs w:val="21"/>
              </w:rPr>
              <w:t>.6.2</w:t>
            </w:r>
            <w:r>
              <w:rPr>
                <w:rFonts w:hint="eastAsia" w:ascii="宋体" w:hAnsi="宋体" w:cs="宋体"/>
                <w:szCs w:val="21"/>
                <w:lang w:val="en-US" w:eastAsia="zh-CN"/>
              </w:rPr>
              <w:t>8</w:t>
            </w:r>
            <w:r>
              <w:rPr>
                <w:rFonts w:hint="eastAsia" w:ascii="宋体" w:hAnsi="宋体" w:cs="宋体"/>
                <w:szCs w:val="21"/>
              </w:rPr>
              <w:t>日公司全体人员参与了公司组织的消防演练，记录了演练过程，对演练中的一些常规知识进行了现场讲评。演练后对应急预案的适宜性、充分性进行了评审，结论：应急准备充分，具有可操作性，应急预案不需修改，记录人吴知虎。</w:t>
            </w:r>
          </w:p>
          <w:p>
            <w:pPr>
              <w:spacing w:line="360" w:lineRule="auto"/>
              <w:rPr>
                <w:rFonts w:ascii="宋体" w:hAnsi="宋体" w:cs="宋体"/>
                <w:szCs w:val="21"/>
              </w:rPr>
            </w:pPr>
            <w:r>
              <w:rPr>
                <w:rFonts w:hint="eastAsia" w:ascii="宋体" w:hAnsi="宋体" w:cs="宋体"/>
                <w:szCs w:val="21"/>
              </w:rPr>
              <w:t>现场查看办公室有灭火器，状态正常。查到消防安全巡查记录表，提供综合管理部202</w:t>
            </w:r>
            <w:r>
              <w:rPr>
                <w:rFonts w:hint="eastAsia" w:ascii="宋体" w:hAnsi="宋体" w:cs="宋体"/>
                <w:szCs w:val="21"/>
                <w:lang w:val="en-US" w:eastAsia="zh-CN"/>
              </w:rPr>
              <w:t>1</w:t>
            </w:r>
            <w:r>
              <w:rPr>
                <w:rFonts w:hint="eastAsia" w:ascii="宋体" w:hAnsi="宋体" w:cs="宋体"/>
                <w:szCs w:val="21"/>
              </w:rPr>
              <w:t>年检查记录。</w:t>
            </w:r>
          </w:p>
          <w:p>
            <w:pPr>
              <w:spacing w:line="360" w:lineRule="auto"/>
              <w:ind w:firstLine="210" w:firstLineChars="100"/>
              <w:rPr>
                <w:rFonts w:ascii="宋体" w:hAnsi="宋体" w:cs="宋体"/>
                <w:szCs w:val="21"/>
              </w:rPr>
            </w:pPr>
            <w:r>
              <w:rPr>
                <w:rFonts w:hint="eastAsia" w:ascii="宋体" w:hAnsi="宋体" w:cs="宋体"/>
                <w:szCs w:val="21"/>
              </w:rPr>
              <w:t>自体系运行以来尚未发生紧急情况。</w:t>
            </w:r>
          </w:p>
        </w:tc>
        <w:tc>
          <w:tcPr>
            <w:tcW w:w="1585"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tcPr>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内部审核</w:t>
            </w:r>
          </w:p>
        </w:tc>
        <w:tc>
          <w:tcPr>
            <w:tcW w:w="1311" w:type="dxa"/>
          </w:tcPr>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 xml:space="preserve">9.2 </w:t>
            </w:r>
          </w:p>
        </w:tc>
        <w:tc>
          <w:tcPr>
            <w:tcW w:w="10004" w:type="dxa"/>
          </w:tcPr>
          <w:p>
            <w:pPr>
              <w:spacing w:line="360" w:lineRule="auto"/>
              <w:ind w:firstLine="210" w:firstLineChars="100"/>
              <w:rPr>
                <w:rFonts w:ascii="宋体" w:hAnsi="宋体" w:cs="宋体"/>
                <w:szCs w:val="21"/>
              </w:rPr>
            </w:pPr>
            <w:r>
              <w:rPr>
                <w:rFonts w:hint="eastAsia" w:ascii="宋体" w:hAnsi="宋体" w:cs="宋体"/>
                <w:szCs w:val="21"/>
              </w:rPr>
              <w:t>由组长吴知虎组织内部审核，查年度审核计划：提供《内部审核计划》，其内容已包括了审核目的、范围、依据。</w:t>
            </w:r>
          </w:p>
          <w:p>
            <w:pPr>
              <w:spacing w:line="360" w:lineRule="auto"/>
              <w:ind w:firstLine="210" w:firstLineChars="100"/>
              <w:rPr>
                <w:rFonts w:ascii="宋体" w:hAnsi="宋体" w:cs="宋体"/>
                <w:szCs w:val="21"/>
              </w:rPr>
            </w:pPr>
            <w:r>
              <w:rPr>
                <w:rFonts w:hint="eastAsia" w:ascii="宋体" w:hAnsi="宋体" w:cs="宋体"/>
                <w:szCs w:val="21"/>
              </w:rPr>
              <w:t>审核组构成：审核组长：沙宏涛；审核成员：庞军虎   吴知虎。</w:t>
            </w:r>
          </w:p>
          <w:p>
            <w:pPr>
              <w:spacing w:line="360" w:lineRule="auto"/>
              <w:ind w:firstLine="210" w:firstLineChars="100"/>
              <w:rPr>
                <w:rFonts w:ascii="宋体" w:hAnsi="宋体" w:cs="宋体"/>
                <w:szCs w:val="21"/>
              </w:rPr>
            </w:pPr>
            <w:r>
              <w:rPr>
                <w:rFonts w:hint="eastAsia" w:ascii="宋体" w:hAnsi="宋体" w:cs="宋体"/>
                <w:szCs w:val="21"/>
              </w:rPr>
              <w:t>1.审核时间202</w:t>
            </w:r>
            <w:r>
              <w:rPr>
                <w:rFonts w:hint="eastAsia" w:ascii="宋体" w:hAnsi="宋体" w:cs="宋体"/>
                <w:szCs w:val="21"/>
                <w:lang w:val="en-US" w:eastAsia="zh-CN"/>
              </w:rPr>
              <w:t>1</w:t>
            </w:r>
            <w:r>
              <w:rPr>
                <w:rFonts w:hint="eastAsia" w:ascii="宋体" w:hAnsi="宋体" w:cs="宋体"/>
                <w:szCs w:val="21"/>
              </w:rPr>
              <w:t>年8月12日，</w:t>
            </w:r>
          </w:p>
          <w:p>
            <w:pPr>
              <w:spacing w:line="360" w:lineRule="auto"/>
              <w:ind w:firstLine="210" w:firstLineChars="100"/>
              <w:rPr>
                <w:rFonts w:ascii="宋体" w:hAnsi="宋体" w:cs="宋体"/>
                <w:szCs w:val="21"/>
              </w:rPr>
            </w:pPr>
            <w:r>
              <w:rPr>
                <w:rFonts w:hint="eastAsia" w:ascii="宋体" w:hAnsi="宋体" w:cs="宋体"/>
                <w:szCs w:val="21"/>
              </w:rPr>
              <w:t>2.审核按计划进行，抽查检查表综合管理部、技术质量部、生产部审核记录与计划相一致，内审员经内部培训合格，能力还需加强；</w:t>
            </w:r>
          </w:p>
          <w:p>
            <w:pPr>
              <w:spacing w:line="360" w:lineRule="auto"/>
              <w:rPr>
                <w:rFonts w:ascii="宋体" w:hAnsi="宋体" w:cs="宋体"/>
                <w:szCs w:val="21"/>
              </w:rPr>
            </w:pPr>
            <w:r>
              <w:rPr>
                <w:rFonts w:hint="eastAsia" w:ascii="宋体" w:hAnsi="宋体" w:cs="宋体"/>
                <w:szCs w:val="21"/>
              </w:rPr>
              <w:t>审核计划已考虑到互查的公正性，无审核员审核本部门的工作，计划内容涉及各部门，条款覆盖整个体系。本次内审发现1个一般不符合项，针对这1个不合格，责任部门已分析了原因并采取了纠正措施，按要求进行了整改，最后内审员进行了验证，纠正措施实施有效。</w:t>
            </w:r>
          </w:p>
          <w:p>
            <w:pPr>
              <w:spacing w:line="360" w:lineRule="auto"/>
              <w:rPr>
                <w:rFonts w:ascii="宋体" w:hAnsi="宋体" w:cs="宋体"/>
                <w:szCs w:val="21"/>
              </w:rPr>
            </w:pPr>
            <w:r>
              <w:rPr>
                <w:rFonts w:hint="eastAsia" w:ascii="宋体" w:hAnsi="宋体" w:cs="宋体"/>
                <w:szCs w:val="21"/>
              </w:rPr>
              <w:t>内部审核结论：提供了《内部审核报告》，对现场审核进行了综述，对环境管理体系进行了符合性的综合评价，最后结论为：公司的环境管理体系基本符合标准要求，运行有效。</w:t>
            </w:r>
          </w:p>
        </w:tc>
        <w:tc>
          <w:tcPr>
            <w:tcW w:w="1585"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tcPr>
          <w:p>
            <w:pPr>
              <w:spacing w:line="360" w:lineRule="auto"/>
              <w:rPr>
                <w:rFonts w:ascii="宋体" w:hAnsi="宋体" w:cs="宋体"/>
                <w:szCs w:val="21"/>
              </w:rPr>
            </w:pPr>
            <w:r>
              <w:rPr>
                <w:rFonts w:hint="eastAsia" w:ascii="宋体" w:hAnsi="宋体" w:cs="宋体"/>
                <w:szCs w:val="21"/>
              </w:rPr>
              <w:t>不合格和纠正措施</w:t>
            </w:r>
          </w:p>
        </w:tc>
        <w:tc>
          <w:tcPr>
            <w:tcW w:w="1311" w:type="dxa"/>
          </w:tcPr>
          <w:p>
            <w:pPr>
              <w:spacing w:line="360" w:lineRule="auto"/>
              <w:rPr>
                <w:rFonts w:ascii="宋体" w:hAnsi="宋体" w:cs="宋体"/>
                <w:szCs w:val="21"/>
              </w:rPr>
            </w:pPr>
            <w:r>
              <w:rPr>
                <w:rFonts w:hint="eastAsia" w:ascii="宋体" w:hAnsi="宋体" w:cs="宋体"/>
                <w:szCs w:val="21"/>
              </w:rPr>
              <w:t>10.2</w:t>
            </w:r>
          </w:p>
        </w:tc>
        <w:tc>
          <w:tcPr>
            <w:tcW w:w="10004" w:type="dxa"/>
          </w:tcPr>
          <w:p>
            <w:pPr>
              <w:spacing w:line="360" w:lineRule="auto"/>
              <w:rPr>
                <w:rFonts w:ascii="宋体" w:hAnsi="宋体" w:cs="宋体"/>
                <w:szCs w:val="21"/>
              </w:rPr>
            </w:pPr>
            <w:r>
              <w:rPr>
                <w:rFonts w:hint="eastAsia" w:ascii="宋体" w:hAnsi="宋体" w:cs="宋体"/>
                <w:szCs w:val="21"/>
              </w:rPr>
              <w:t>管理者代表根据总经理意图组织持续改进过程的策划工作，由综合管理部实施持续改进过程的管理。</w:t>
            </w:r>
          </w:p>
          <w:p>
            <w:pPr>
              <w:spacing w:line="360" w:lineRule="auto"/>
              <w:ind w:firstLine="420" w:firstLineChars="200"/>
              <w:rPr>
                <w:szCs w:val="21"/>
              </w:rPr>
            </w:pPr>
            <w:r>
              <w:rPr>
                <w:rFonts w:hint="eastAsia"/>
                <w:szCs w:val="21"/>
              </w:rPr>
              <w:t>为保证公司职业健康安全管理体系的有效运行，通过对安全事件的调查处理，以确保管理体系运行的有效性。</w:t>
            </w:r>
          </w:p>
          <w:p>
            <w:pPr>
              <w:spacing w:line="360" w:lineRule="auto"/>
              <w:ind w:firstLine="420" w:firstLineChars="200"/>
              <w:rPr>
                <w:rFonts w:ascii="宋体" w:hAnsi="宋体" w:cs="宋体"/>
                <w:szCs w:val="21"/>
              </w:rPr>
            </w:pPr>
            <w:r>
              <w:rPr>
                <w:rFonts w:hint="eastAsia"/>
                <w:szCs w:val="21"/>
              </w:rPr>
              <w:t>经查在公司正常经营活动中，出现了轻微不符合，部门已经采取纠正和纠正措施，经验证纠正措施有效。</w:t>
            </w:r>
          </w:p>
          <w:p>
            <w:pPr>
              <w:spacing w:line="360" w:lineRule="auto"/>
              <w:ind w:firstLine="420" w:firstLineChars="200"/>
              <w:rPr>
                <w:rFonts w:ascii="宋体" w:hAnsi="宋体" w:cs="宋体"/>
                <w:szCs w:val="21"/>
              </w:rPr>
            </w:pPr>
            <w:r>
              <w:rPr>
                <w:rFonts w:hint="eastAsia" w:ascii="宋体" w:hAnsi="宋体" w:cs="宋体"/>
                <w:szCs w:val="21"/>
              </w:rPr>
              <w:t>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环境意识有较大的提高，持续改进了管理体系的有效性。</w:t>
            </w:r>
          </w:p>
        </w:tc>
        <w:tc>
          <w:tcPr>
            <w:tcW w:w="1585" w:type="dxa"/>
          </w:tcPr>
          <w:p>
            <w:pPr>
              <w:spacing w:line="360" w:lineRule="auto"/>
              <w:rPr>
                <w:rFonts w:ascii="宋体" w:hAnsi="宋体" w:cs="宋体"/>
                <w:szCs w:val="21"/>
              </w:rPr>
            </w:pPr>
          </w:p>
        </w:tc>
      </w:tr>
    </w:tbl>
    <w:p>
      <w:pPr>
        <w:rPr>
          <w:rFonts w:ascii="楷体" w:hAnsi="楷体" w:eastAsia="楷体"/>
        </w:rPr>
      </w:pPr>
      <w:r>
        <w:rPr>
          <w:rFonts w:ascii="楷体" w:hAnsi="楷体" w:eastAsia="楷体"/>
        </w:rPr>
        <w:ptab w:relativeTo="margin" w:alignment="center" w:leader="none"/>
      </w:r>
    </w:p>
    <w:p>
      <w:pPr>
        <w:rPr>
          <w:rFonts w:ascii="楷体" w:hAnsi="楷体" w:eastAsia="楷体"/>
        </w:rPr>
      </w:pPr>
    </w:p>
    <w:p>
      <w:pPr>
        <w:pStyle w:val="7"/>
        <w:rPr>
          <w:rFonts w:ascii="楷体" w:hAnsi="楷体" w:eastAsia="楷体"/>
        </w:rPr>
      </w:pPr>
      <w:r>
        <w:rPr>
          <w:rFonts w:hint="eastAsia" w:ascii="楷体" w:hAnsi="楷体" w:eastAsia="楷体"/>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8"/>
      <w:pBdr>
        <w:bottom w:val="none" w:color="auto" w:sz="0" w:space="1"/>
      </w:pBdr>
      <w:spacing w:line="320" w:lineRule="exact"/>
      <w:jc w:val="left"/>
    </w:pPr>
    <w:r>
      <w:pict>
        <v:shape id="文本框 1" o:spid="_x0000_s2050"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D ISC-B-II-12管理体系审核记录表(03版)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75417E"/>
    <w:multiLevelType w:val="singleLevel"/>
    <w:tmpl w:val="9875417E"/>
    <w:lvl w:ilvl="0" w:tentative="0">
      <w:start w:val="1"/>
      <w:numFmt w:val="decimal"/>
      <w:suff w:val="nothing"/>
      <w:lvlText w:val="%1）"/>
      <w:lvlJc w:val="left"/>
    </w:lvl>
  </w:abstractNum>
  <w:abstractNum w:abstractNumId="1">
    <w:nsid w:val="012D39C9"/>
    <w:multiLevelType w:val="multilevel"/>
    <w:tmpl w:val="012D39C9"/>
    <w:lvl w:ilvl="0" w:tentative="0">
      <w:start w:val="1"/>
      <w:numFmt w:val="bullet"/>
      <w:lvlText w:val=""/>
      <w:lvlJc w:val="left"/>
      <w:pPr>
        <w:ind w:left="786" w:hanging="360"/>
      </w:pPr>
      <w:rPr>
        <w:rFonts w:hint="default" w:ascii="Wingdings" w:hAnsi="Wingdings"/>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2">
    <w:nsid w:val="246E44C8"/>
    <w:multiLevelType w:val="multilevel"/>
    <w:tmpl w:val="246E44C8"/>
    <w:lvl w:ilvl="0" w:tentative="0">
      <w:start w:val="1"/>
      <w:numFmt w:val="bullet"/>
      <w:lvlText w:val=""/>
      <w:lvlJc w:val="left"/>
      <w:pPr>
        <w:ind w:left="786" w:hanging="360"/>
      </w:pPr>
      <w:rPr>
        <w:rFonts w:hint="default" w:ascii="Wingdings" w:hAnsi="Wingdings"/>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3">
    <w:nsid w:val="442165BA"/>
    <w:multiLevelType w:val="multilevel"/>
    <w:tmpl w:val="442165BA"/>
    <w:lvl w:ilvl="0" w:tentative="0">
      <w:start w:val="1"/>
      <w:numFmt w:val="decimal"/>
      <w:lvlText w:val="%1)"/>
      <w:lvlJc w:val="left"/>
      <w:pPr>
        <w:tabs>
          <w:tab w:val="left" w:pos="1680"/>
        </w:tabs>
        <w:ind w:left="1680" w:hanging="420"/>
      </w:pPr>
    </w:lvl>
    <w:lvl w:ilvl="1" w:tentative="0">
      <w:start w:val="1"/>
      <w:numFmt w:val="lowerLetter"/>
      <w:lvlText w:val="%2)"/>
      <w:lvlJc w:val="left"/>
      <w:pPr>
        <w:tabs>
          <w:tab w:val="left" w:pos="2100"/>
        </w:tabs>
        <w:ind w:left="2100" w:hanging="420"/>
      </w:pPr>
    </w:lvl>
    <w:lvl w:ilvl="2" w:tentative="0">
      <w:start w:val="1"/>
      <w:numFmt w:val="lowerRoman"/>
      <w:lvlText w:val="%3."/>
      <w:lvlJc w:val="right"/>
      <w:pPr>
        <w:tabs>
          <w:tab w:val="left" w:pos="2520"/>
        </w:tabs>
        <w:ind w:left="2520" w:hanging="420"/>
      </w:p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righ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right"/>
      <w:pPr>
        <w:tabs>
          <w:tab w:val="left" w:pos="5040"/>
        </w:tabs>
        <w:ind w:left="504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52A"/>
    <w:rsid w:val="00004817"/>
    <w:rsid w:val="0000489C"/>
    <w:rsid w:val="00005E2A"/>
    <w:rsid w:val="00010A8E"/>
    <w:rsid w:val="00011131"/>
    <w:rsid w:val="000214B6"/>
    <w:rsid w:val="000235CA"/>
    <w:rsid w:val="0002531E"/>
    <w:rsid w:val="00030AA3"/>
    <w:rsid w:val="00032F7B"/>
    <w:rsid w:val="0003373A"/>
    <w:rsid w:val="000412F6"/>
    <w:rsid w:val="00042D65"/>
    <w:rsid w:val="0005199E"/>
    <w:rsid w:val="0005359F"/>
    <w:rsid w:val="0005697E"/>
    <w:rsid w:val="000579CF"/>
    <w:rsid w:val="00060140"/>
    <w:rsid w:val="000649BD"/>
    <w:rsid w:val="00065492"/>
    <w:rsid w:val="0008023B"/>
    <w:rsid w:val="00082216"/>
    <w:rsid w:val="00082398"/>
    <w:rsid w:val="000849D2"/>
    <w:rsid w:val="000877AB"/>
    <w:rsid w:val="00093FDD"/>
    <w:rsid w:val="000A5E44"/>
    <w:rsid w:val="000B1394"/>
    <w:rsid w:val="000B40BD"/>
    <w:rsid w:val="000B4ACA"/>
    <w:rsid w:val="000C123B"/>
    <w:rsid w:val="000C162C"/>
    <w:rsid w:val="000C3C79"/>
    <w:rsid w:val="000C7911"/>
    <w:rsid w:val="000D32BB"/>
    <w:rsid w:val="000D5401"/>
    <w:rsid w:val="000D697A"/>
    <w:rsid w:val="000E2B69"/>
    <w:rsid w:val="000E7EF7"/>
    <w:rsid w:val="000F35F1"/>
    <w:rsid w:val="000F5F5A"/>
    <w:rsid w:val="00101BDE"/>
    <w:rsid w:val="001022F1"/>
    <w:rsid w:val="001037D5"/>
    <w:rsid w:val="001100F4"/>
    <w:rsid w:val="001149D1"/>
    <w:rsid w:val="00124A3B"/>
    <w:rsid w:val="00125F87"/>
    <w:rsid w:val="00126162"/>
    <w:rsid w:val="001345D8"/>
    <w:rsid w:val="001437F6"/>
    <w:rsid w:val="00145688"/>
    <w:rsid w:val="00151406"/>
    <w:rsid w:val="00151B98"/>
    <w:rsid w:val="00156AF7"/>
    <w:rsid w:val="001677C1"/>
    <w:rsid w:val="00176411"/>
    <w:rsid w:val="00180285"/>
    <w:rsid w:val="00181073"/>
    <w:rsid w:val="001918ED"/>
    <w:rsid w:val="00192A7F"/>
    <w:rsid w:val="00197FAD"/>
    <w:rsid w:val="001A0040"/>
    <w:rsid w:val="001A2D7F"/>
    <w:rsid w:val="001A3DF8"/>
    <w:rsid w:val="001A572D"/>
    <w:rsid w:val="001B3708"/>
    <w:rsid w:val="001B6D1E"/>
    <w:rsid w:val="001D3A47"/>
    <w:rsid w:val="001D4AD8"/>
    <w:rsid w:val="001D54FF"/>
    <w:rsid w:val="001E1974"/>
    <w:rsid w:val="001E39A8"/>
    <w:rsid w:val="001E57EA"/>
    <w:rsid w:val="001F00D7"/>
    <w:rsid w:val="001F0E74"/>
    <w:rsid w:val="001F4B9E"/>
    <w:rsid w:val="001F581C"/>
    <w:rsid w:val="00202BC2"/>
    <w:rsid w:val="00214113"/>
    <w:rsid w:val="00215081"/>
    <w:rsid w:val="002221D5"/>
    <w:rsid w:val="00222532"/>
    <w:rsid w:val="00223BE3"/>
    <w:rsid w:val="00233B02"/>
    <w:rsid w:val="00234FA5"/>
    <w:rsid w:val="00237445"/>
    <w:rsid w:val="00237878"/>
    <w:rsid w:val="00256D61"/>
    <w:rsid w:val="00260151"/>
    <w:rsid w:val="002651A6"/>
    <w:rsid w:val="00277EAD"/>
    <w:rsid w:val="0028428D"/>
    <w:rsid w:val="002973F0"/>
    <w:rsid w:val="002975C1"/>
    <w:rsid w:val="002A0E6E"/>
    <w:rsid w:val="002A1512"/>
    <w:rsid w:val="002A33CC"/>
    <w:rsid w:val="002B1808"/>
    <w:rsid w:val="002C1ACE"/>
    <w:rsid w:val="002C3E0D"/>
    <w:rsid w:val="002D41FB"/>
    <w:rsid w:val="002E0587"/>
    <w:rsid w:val="002E0FDE"/>
    <w:rsid w:val="002E1E1D"/>
    <w:rsid w:val="002E54D2"/>
    <w:rsid w:val="002F33E7"/>
    <w:rsid w:val="00306C8C"/>
    <w:rsid w:val="003224A1"/>
    <w:rsid w:val="00326F44"/>
    <w:rsid w:val="00326FC1"/>
    <w:rsid w:val="00337922"/>
    <w:rsid w:val="00340867"/>
    <w:rsid w:val="00341502"/>
    <w:rsid w:val="00342857"/>
    <w:rsid w:val="0034579A"/>
    <w:rsid w:val="003466A4"/>
    <w:rsid w:val="00355BF0"/>
    <w:rsid w:val="003608CB"/>
    <w:rsid w:val="0036159B"/>
    <w:rsid w:val="003627B6"/>
    <w:rsid w:val="003708D5"/>
    <w:rsid w:val="00373382"/>
    <w:rsid w:val="00374458"/>
    <w:rsid w:val="003777AD"/>
    <w:rsid w:val="0038061A"/>
    <w:rsid w:val="0038063B"/>
    <w:rsid w:val="00380837"/>
    <w:rsid w:val="003812DF"/>
    <w:rsid w:val="00382EDD"/>
    <w:rsid w:val="003836CA"/>
    <w:rsid w:val="00385573"/>
    <w:rsid w:val="003861E2"/>
    <w:rsid w:val="00386A98"/>
    <w:rsid w:val="00394C7B"/>
    <w:rsid w:val="003A1E9C"/>
    <w:rsid w:val="003A7C94"/>
    <w:rsid w:val="003D0E86"/>
    <w:rsid w:val="003D60E0"/>
    <w:rsid w:val="003D6BE3"/>
    <w:rsid w:val="003E0E52"/>
    <w:rsid w:val="003F20A5"/>
    <w:rsid w:val="003F7CF2"/>
    <w:rsid w:val="00400B96"/>
    <w:rsid w:val="00402F6A"/>
    <w:rsid w:val="00405D5F"/>
    <w:rsid w:val="00410370"/>
    <w:rsid w:val="00410914"/>
    <w:rsid w:val="00415AA3"/>
    <w:rsid w:val="00415D90"/>
    <w:rsid w:val="00420C60"/>
    <w:rsid w:val="00430432"/>
    <w:rsid w:val="00433759"/>
    <w:rsid w:val="0043494E"/>
    <w:rsid w:val="004414A5"/>
    <w:rsid w:val="00452E7C"/>
    <w:rsid w:val="00456697"/>
    <w:rsid w:val="00462AA6"/>
    <w:rsid w:val="00463C32"/>
    <w:rsid w:val="004654D1"/>
    <w:rsid w:val="00465FE1"/>
    <w:rsid w:val="004727C9"/>
    <w:rsid w:val="004750FD"/>
    <w:rsid w:val="00475491"/>
    <w:rsid w:val="0048097F"/>
    <w:rsid w:val="00481002"/>
    <w:rsid w:val="004869FB"/>
    <w:rsid w:val="00491735"/>
    <w:rsid w:val="004926B3"/>
    <w:rsid w:val="00494A46"/>
    <w:rsid w:val="00494C7B"/>
    <w:rsid w:val="004962AC"/>
    <w:rsid w:val="00496372"/>
    <w:rsid w:val="004B217F"/>
    <w:rsid w:val="004B3E7F"/>
    <w:rsid w:val="004C07FE"/>
    <w:rsid w:val="004C3690"/>
    <w:rsid w:val="004C3A5F"/>
    <w:rsid w:val="004D3E4C"/>
    <w:rsid w:val="004D4458"/>
    <w:rsid w:val="004D4B22"/>
    <w:rsid w:val="004E59CF"/>
    <w:rsid w:val="004E5BD5"/>
    <w:rsid w:val="004F185D"/>
    <w:rsid w:val="00502D28"/>
    <w:rsid w:val="005056ED"/>
    <w:rsid w:val="00517E4C"/>
    <w:rsid w:val="00521CF0"/>
    <w:rsid w:val="0053208B"/>
    <w:rsid w:val="00534814"/>
    <w:rsid w:val="00534DD9"/>
    <w:rsid w:val="00536930"/>
    <w:rsid w:val="00560A2A"/>
    <w:rsid w:val="00564E53"/>
    <w:rsid w:val="00572CCA"/>
    <w:rsid w:val="005745EC"/>
    <w:rsid w:val="00583277"/>
    <w:rsid w:val="00583BED"/>
    <w:rsid w:val="00592857"/>
    <w:rsid w:val="00592C3E"/>
    <w:rsid w:val="005A000F"/>
    <w:rsid w:val="005A4C5B"/>
    <w:rsid w:val="005B173D"/>
    <w:rsid w:val="005B6888"/>
    <w:rsid w:val="005C0D1F"/>
    <w:rsid w:val="005C4CA2"/>
    <w:rsid w:val="005C5115"/>
    <w:rsid w:val="005D0D01"/>
    <w:rsid w:val="005D22A5"/>
    <w:rsid w:val="005E33D9"/>
    <w:rsid w:val="005F2334"/>
    <w:rsid w:val="005F4AF1"/>
    <w:rsid w:val="005F6C65"/>
    <w:rsid w:val="006006C4"/>
    <w:rsid w:val="00600F02"/>
    <w:rsid w:val="0060444D"/>
    <w:rsid w:val="00610C94"/>
    <w:rsid w:val="00621348"/>
    <w:rsid w:val="00621D29"/>
    <w:rsid w:val="00630A26"/>
    <w:rsid w:val="006361FB"/>
    <w:rsid w:val="00642776"/>
    <w:rsid w:val="00644FE2"/>
    <w:rsid w:val="00645FB8"/>
    <w:rsid w:val="00651986"/>
    <w:rsid w:val="00652DFC"/>
    <w:rsid w:val="006545E8"/>
    <w:rsid w:val="00656E2A"/>
    <w:rsid w:val="006627EE"/>
    <w:rsid w:val="00662FF2"/>
    <w:rsid w:val="00664736"/>
    <w:rsid w:val="00665980"/>
    <w:rsid w:val="00673E66"/>
    <w:rsid w:val="0067581B"/>
    <w:rsid w:val="0067640C"/>
    <w:rsid w:val="0068007F"/>
    <w:rsid w:val="006807B1"/>
    <w:rsid w:val="006836D9"/>
    <w:rsid w:val="00686072"/>
    <w:rsid w:val="00695256"/>
    <w:rsid w:val="00695570"/>
    <w:rsid w:val="00696AF1"/>
    <w:rsid w:val="006A0D5D"/>
    <w:rsid w:val="006A0DCD"/>
    <w:rsid w:val="006A3B31"/>
    <w:rsid w:val="006A68F3"/>
    <w:rsid w:val="006B0BEB"/>
    <w:rsid w:val="006B4127"/>
    <w:rsid w:val="006B4D10"/>
    <w:rsid w:val="006B6EE2"/>
    <w:rsid w:val="006B72BE"/>
    <w:rsid w:val="006C04DD"/>
    <w:rsid w:val="006C190F"/>
    <w:rsid w:val="006C24BF"/>
    <w:rsid w:val="006C40B9"/>
    <w:rsid w:val="006C5AA3"/>
    <w:rsid w:val="006E407E"/>
    <w:rsid w:val="006E678B"/>
    <w:rsid w:val="006F7C2F"/>
    <w:rsid w:val="0070237F"/>
    <w:rsid w:val="0070367F"/>
    <w:rsid w:val="00712F3C"/>
    <w:rsid w:val="00714173"/>
    <w:rsid w:val="00715738"/>
    <w:rsid w:val="0071649B"/>
    <w:rsid w:val="007170AA"/>
    <w:rsid w:val="00722449"/>
    <w:rsid w:val="007273CC"/>
    <w:rsid w:val="00730F43"/>
    <w:rsid w:val="00732B66"/>
    <w:rsid w:val="00734814"/>
    <w:rsid w:val="00736C7A"/>
    <w:rsid w:val="00737C8F"/>
    <w:rsid w:val="007406DE"/>
    <w:rsid w:val="00741CA3"/>
    <w:rsid w:val="00743E79"/>
    <w:rsid w:val="00744BEA"/>
    <w:rsid w:val="00751532"/>
    <w:rsid w:val="00751C37"/>
    <w:rsid w:val="0075769B"/>
    <w:rsid w:val="007664EF"/>
    <w:rsid w:val="007757F3"/>
    <w:rsid w:val="00775945"/>
    <w:rsid w:val="007815DC"/>
    <w:rsid w:val="007910AF"/>
    <w:rsid w:val="007A08DA"/>
    <w:rsid w:val="007A168A"/>
    <w:rsid w:val="007A47FB"/>
    <w:rsid w:val="007A621C"/>
    <w:rsid w:val="007A637D"/>
    <w:rsid w:val="007B106B"/>
    <w:rsid w:val="007B275D"/>
    <w:rsid w:val="007D25A2"/>
    <w:rsid w:val="007D77E6"/>
    <w:rsid w:val="007E4421"/>
    <w:rsid w:val="007E6AEB"/>
    <w:rsid w:val="007F01EC"/>
    <w:rsid w:val="007F4F96"/>
    <w:rsid w:val="007F69CE"/>
    <w:rsid w:val="007F7DF2"/>
    <w:rsid w:val="00805D85"/>
    <w:rsid w:val="008079FA"/>
    <w:rsid w:val="00810D58"/>
    <w:rsid w:val="00822B42"/>
    <w:rsid w:val="008252FE"/>
    <w:rsid w:val="00832168"/>
    <w:rsid w:val="00832BCD"/>
    <w:rsid w:val="008353F3"/>
    <w:rsid w:val="00835B31"/>
    <w:rsid w:val="00841149"/>
    <w:rsid w:val="00843E60"/>
    <w:rsid w:val="00854CE0"/>
    <w:rsid w:val="0085565C"/>
    <w:rsid w:val="008646DE"/>
    <w:rsid w:val="0086487E"/>
    <w:rsid w:val="00864902"/>
    <w:rsid w:val="00864BE7"/>
    <w:rsid w:val="00865200"/>
    <w:rsid w:val="00871662"/>
    <w:rsid w:val="00871695"/>
    <w:rsid w:val="00886221"/>
    <w:rsid w:val="00891C25"/>
    <w:rsid w:val="008942F3"/>
    <w:rsid w:val="00895162"/>
    <w:rsid w:val="00895CD0"/>
    <w:rsid w:val="008973EE"/>
    <w:rsid w:val="008A3BE8"/>
    <w:rsid w:val="008A45D1"/>
    <w:rsid w:val="008D089D"/>
    <w:rsid w:val="008E4ACD"/>
    <w:rsid w:val="008F0B04"/>
    <w:rsid w:val="008F7C55"/>
    <w:rsid w:val="00903041"/>
    <w:rsid w:val="00912EC2"/>
    <w:rsid w:val="00925E9B"/>
    <w:rsid w:val="00927A5E"/>
    <w:rsid w:val="00930694"/>
    <w:rsid w:val="0093521F"/>
    <w:rsid w:val="0094313D"/>
    <w:rsid w:val="00945677"/>
    <w:rsid w:val="00955B84"/>
    <w:rsid w:val="00962F78"/>
    <w:rsid w:val="009635D2"/>
    <w:rsid w:val="0096609F"/>
    <w:rsid w:val="009666D5"/>
    <w:rsid w:val="00971600"/>
    <w:rsid w:val="00977143"/>
    <w:rsid w:val="00984342"/>
    <w:rsid w:val="009973B4"/>
    <w:rsid w:val="00997ED5"/>
    <w:rsid w:val="009A1F39"/>
    <w:rsid w:val="009A2CBA"/>
    <w:rsid w:val="009A7CA5"/>
    <w:rsid w:val="009B7EB8"/>
    <w:rsid w:val="009D56D9"/>
    <w:rsid w:val="009E30DA"/>
    <w:rsid w:val="009E6193"/>
    <w:rsid w:val="009E7DD1"/>
    <w:rsid w:val="009F54EA"/>
    <w:rsid w:val="009F6EFA"/>
    <w:rsid w:val="009F7EED"/>
    <w:rsid w:val="00A11CE2"/>
    <w:rsid w:val="00A138EC"/>
    <w:rsid w:val="00A141BA"/>
    <w:rsid w:val="00A16BEC"/>
    <w:rsid w:val="00A207A9"/>
    <w:rsid w:val="00A213BB"/>
    <w:rsid w:val="00A242B7"/>
    <w:rsid w:val="00A30AF3"/>
    <w:rsid w:val="00A41ECE"/>
    <w:rsid w:val="00A71BDD"/>
    <w:rsid w:val="00A74274"/>
    <w:rsid w:val="00A801DE"/>
    <w:rsid w:val="00A90A22"/>
    <w:rsid w:val="00A9370D"/>
    <w:rsid w:val="00A971DB"/>
    <w:rsid w:val="00A97734"/>
    <w:rsid w:val="00AA5AAA"/>
    <w:rsid w:val="00AA7F40"/>
    <w:rsid w:val="00AB41FC"/>
    <w:rsid w:val="00AB7D2F"/>
    <w:rsid w:val="00AD1550"/>
    <w:rsid w:val="00AD1604"/>
    <w:rsid w:val="00AD59BA"/>
    <w:rsid w:val="00AD6F34"/>
    <w:rsid w:val="00AE173F"/>
    <w:rsid w:val="00AE5F74"/>
    <w:rsid w:val="00AF08A3"/>
    <w:rsid w:val="00AF0AAB"/>
    <w:rsid w:val="00AF566B"/>
    <w:rsid w:val="00AF616B"/>
    <w:rsid w:val="00B01A4E"/>
    <w:rsid w:val="00B01BD1"/>
    <w:rsid w:val="00B0458E"/>
    <w:rsid w:val="00B047A6"/>
    <w:rsid w:val="00B0685B"/>
    <w:rsid w:val="00B17BD9"/>
    <w:rsid w:val="00B23030"/>
    <w:rsid w:val="00B237B9"/>
    <w:rsid w:val="00B23CAA"/>
    <w:rsid w:val="00B31564"/>
    <w:rsid w:val="00B410EE"/>
    <w:rsid w:val="00B660B0"/>
    <w:rsid w:val="00B771B1"/>
    <w:rsid w:val="00B8202D"/>
    <w:rsid w:val="00B84EF9"/>
    <w:rsid w:val="00B929FD"/>
    <w:rsid w:val="00B94D34"/>
    <w:rsid w:val="00B95B99"/>
    <w:rsid w:val="00B95F69"/>
    <w:rsid w:val="00BA54F6"/>
    <w:rsid w:val="00BB518C"/>
    <w:rsid w:val="00BC2015"/>
    <w:rsid w:val="00BC5975"/>
    <w:rsid w:val="00BC71B0"/>
    <w:rsid w:val="00BD6B80"/>
    <w:rsid w:val="00BD6CAC"/>
    <w:rsid w:val="00BE46EF"/>
    <w:rsid w:val="00BE6BCD"/>
    <w:rsid w:val="00BF4D90"/>
    <w:rsid w:val="00BF4F01"/>
    <w:rsid w:val="00BF597E"/>
    <w:rsid w:val="00C0184C"/>
    <w:rsid w:val="00C03098"/>
    <w:rsid w:val="00C04EF2"/>
    <w:rsid w:val="00C14685"/>
    <w:rsid w:val="00C17048"/>
    <w:rsid w:val="00C31C73"/>
    <w:rsid w:val="00C3771E"/>
    <w:rsid w:val="00C40DA5"/>
    <w:rsid w:val="00C43C47"/>
    <w:rsid w:val="00C46AF9"/>
    <w:rsid w:val="00C51A36"/>
    <w:rsid w:val="00C52C62"/>
    <w:rsid w:val="00C548BE"/>
    <w:rsid w:val="00C55228"/>
    <w:rsid w:val="00C569F9"/>
    <w:rsid w:val="00C67E19"/>
    <w:rsid w:val="00C67E47"/>
    <w:rsid w:val="00C71E85"/>
    <w:rsid w:val="00C75CF5"/>
    <w:rsid w:val="00C80D44"/>
    <w:rsid w:val="00C86F9B"/>
    <w:rsid w:val="00C87FEE"/>
    <w:rsid w:val="00C920A9"/>
    <w:rsid w:val="00CA6500"/>
    <w:rsid w:val="00CB0B65"/>
    <w:rsid w:val="00CB260B"/>
    <w:rsid w:val="00CB32AC"/>
    <w:rsid w:val="00CC3579"/>
    <w:rsid w:val="00CC43C5"/>
    <w:rsid w:val="00CE2A9E"/>
    <w:rsid w:val="00CE315A"/>
    <w:rsid w:val="00CE7BE1"/>
    <w:rsid w:val="00CF147A"/>
    <w:rsid w:val="00CF1726"/>
    <w:rsid w:val="00CF5BEE"/>
    <w:rsid w:val="00CF615B"/>
    <w:rsid w:val="00CF6C5C"/>
    <w:rsid w:val="00D00082"/>
    <w:rsid w:val="00D04E08"/>
    <w:rsid w:val="00D06F59"/>
    <w:rsid w:val="00D207FD"/>
    <w:rsid w:val="00D23CBF"/>
    <w:rsid w:val="00D31D43"/>
    <w:rsid w:val="00D32C89"/>
    <w:rsid w:val="00D3392D"/>
    <w:rsid w:val="00D429D7"/>
    <w:rsid w:val="00D432BA"/>
    <w:rsid w:val="00D44F57"/>
    <w:rsid w:val="00D46934"/>
    <w:rsid w:val="00D55E69"/>
    <w:rsid w:val="00D562F6"/>
    <w:rsid w:val="00D6092B"/>
    <w:rsid w:val="00D763FC"/>
    <w:rsid w:val="00D8388C"/>
    <w:rsid w:val="00D8465F"/>
    <w:rsid w:val="00D93BCF"/>
    <w:rsid w:val="00D93CE5"/>
    <w:rsid w:val="00D94A94"/>
    <w:rsid w:val="00DA0605"/>
    <w:rsid w:val="00DA0DF0"/>
    <w:rsid w:val="00DA15B3"/>
    <w:rsid w:val="00DB30A0"/>
    <w:rsid w:val="00DB3A7B"/>
    <w:rsid w:val="00DB49C7"/>
    <w:rsid w:val="00DB7048"/>
    <w:rsid w:val="00DC3DCB"/>
    <w:rsid w:val="00DC5D24"/>
    <w:rsid w:val="00DC6922"/>
    <w:rsid w:val="00DD0554"/>
    <w:rsid w:val="00DD3D68"/>
    <w:rsid w:val="00DE053D"/>
    <w:rsid w:val="00DE146D"/>
    <w:rsid w:val="00DE2D80"/>
    <w:rsid w:val="00DE6FCE"/>
    <w:rsid w:val="00DF4E02"/>
    <w:rsid w:val="00DF76DB"/>
    <w:rsid w:val="00E038E4"/>
    <w:rsid w:val="00E10958"/>
    <w:rsid w:val="00E10DB7"/>
    <w:rsid w:val="00E13D9A"/>
    <w:rsid w:val="00E15335"/>
    <w:rsid w:val="00E2412D"/>
    <w:rsid w:val="00E306F3"/>
    <w:rsid w:val="00E32D13"/>
    <w:rsid w:val="00E361FB"/>
    <w:rsid w:val="00E43822"/>
    <w:rsid w:val="00E43B4F"/>
    <w:rsid w:val="00E4616C"/>
    <w:rsid w:val="00E54035"/>
    <w:rsid w:val="00E60BC6"/>
    <w:rsid w:val="00E62996"/>
    <w:rsid w:val="00E63714"/>
    <w:rsid w:val="00E64A51"/>
    <w:rsid w:val="00E64DE9"/>
    <w:rsid w:val="00E761A3"/>
    <w:rsid w:val="00E910C0"/>
    <w:rsid w:val="00E937D9"/>
    <w:rsid w:val="00E95DCA"/>
    <w:rsid w:val="00E97424"/>
    <w:rsid w:val="00EA105E"/>
    <w:rsid w:val="00EA2B20"/>
    <w:rsid w:val="00EA55F7"/>
    <w:rsid w:val="00EB0164"/>
    <w:rsid w:val="00EB65F7"/>
    <w:rsid w:val="00EC42F5"/>
    <w:rsid w:val="00ED0F62"/>
    <w:rsid w:val="00EE31A4"/>
    <w:rsid w:val="00EE342C"/>
    <w:rsid w:val="00EE4E99"/>
    <w:rsid w:val="00EE5681"/>
    <w:rsid w:val="00EF36E7"/>
    <w:rsid w:val="00F00528"/>
    <w:rsid w:val="00F06D09"/>
    <w:rsid w:val="00F0761A"/>
    <w:rsid w:val="00F11201"/>
    <w:rsid w:val="00F120B5"/>
    <w:rsid w:val="00F120D0"/>
    <w:rsid w:val="00F14D99"/>
    <w:rsid w:val="00F218AE"/>
    <w:rsid w:val="00F2791D"/>
    <w:rsid w:val="00F32CB9"/>
    <w:rsid w:val="00F33729"/>
    <w:rsid w:val="00F35CD7"/>
    <w:rsid w:val="00F4469B"/>
    <w:rsid w:val="00F45330"/>
    <w:rsid w:val="00F47D7D"/>
    <w:rsid w:val="00F57725"/>
    <w:rsid w:val="00F606E1"/>
    <w:rsid w:val="00F614F5"/>
    <w:rsid w:val="00F6176E"/>
    <w:rsid w:val="00F6739D"/>
    <w:rsid w:val="00F83639"/>
    <w:rsid w:val="00F840C3"/>
    <w:rsid w:val="00F856F5"/>
    <w:rsid w:val="00F93F58"/>
    <w:rsid w:val="00F956F5"/>
    <w:rsid w:val="00FA0833"/>
    <w:rsid w:val="00FA2A1D"/>
    <w:rsid w:val="00FA350D"/>
    <w:rsid w:val="00FB03C3"/>
    <w:rsid w:val="00FB136A"/>
    <w:rsid w:val="00FB5A65"/>
    <w:rsid w:val="00FC4C8F"/>
    <w:rsid w:val="00FD2869"/>
    <w:rsid w:val="00FD4D2E"/>
    <w:rsid w:val="00FD56BE"/>
    <w:rsid w:val="00FD5EE5"/>
    <w:rsid w:val="00FD72A6"/>
    <w:rsid w:val="00FE09C9"/>
    <w:rsid w:val="03CF41F6"/>
    <w:rsid w:val="0455542E"/>
    <w:rsid w:val="0722386A"/>
    <w:rsid w:val="108219C2"/>
    <w:rsid w:val="11E16F0E"/>
    <w:rsid w:val="12C6218F"/>
    <w:rsid w:val="221A59C4"/>
    <w:rsid w:val="2BAB4349"/>
    <w:rsid w:val="2D720E3E"/>
    <w:rsid w:val="2E8D71E1"/>
    <w:rsid w:val="2F07439E"/>
    <w:rsid w:val="30983942"/>
    <w:rsid w:val="33655F2F"/>
    <w:rsid w:val="3C0C7A8B"/>
    <w:rsid w:val="425C5FCC"/>
    <w:rsid w:val="44845117"/>
    <w:rsid w:val="492B574D"/>
    <w:rsid w:val="51B00550"/>
    <w:rsid w:val="54C02294"/>
    <w:rsid w:val="5EA12B9A"/>
    <w:rsid w:val="65D35390"/>
    <w:rsid w:val="6A7E11D7"/>
    <w:rsid w:val="72FA6E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Plain Text"/>
    <w:basedOn w:val="1"/>
    <w:qFormat/>
    <w:uiPriority w:val="0"/>
    <w:rPr>
      <w:rFonts w:ascii="宋体" w:hAnsi="Courier New"/>
    </w:rPr>
  </w:style>
  <w:style w:type="paragraph" w:styleId="6">
    <w:name w:val="Balloon Text"/>
    <w:basedOn w:val="1"/>
    <w:link w:val="13"/>
    <w:semiHidden/>
    <w:unhideWhenUsed/>
    <w:qFormat/>
    <w:uiPriority w:val="99"/>
    <w:rPr>
      <w:sz w:val="18"/>
      <w:szCs w:val="18"/>
    </w:rPr>
  </w:style>
  <w:style w:type="paragraph" w:styleId="7">
    <w:name w:val="footer"/>
    <w:basedOn w:val="1"/>
    <w:link w:val="12"/>
    <w:unhideWhenUsed/>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0"/>
    <w:rPr>
      <w:rFonts w:ascii="Times New Roman" w:hAnsi="Times New Roman" w:eastAsia="宋体" w:cs="Times New Roman"/>
      <w:sz w:val="18"/>
      <w:szCs w:val="18"/>
    </w:rPr>
  </w:style>
  <w:style w:type="character" w:customStyle="1" w:styleId="12">
    <w:name w:val="页脚 Char"/>
    <w:basedOn w:val="10"/>
    <w:link w:val="7"/>
    <w:qFormat/>
    <w:uiPriority w:val="99"/>
    <w:rPr>
      <w:rFonts w:ascii="Times New Roman" w:hAnsi="Times New Roman" w:eastAsia="宋体" w:cs="Times New Roman"/>
      <w:sz w:val="18"/>
      <w:szCs w:val="18"/>
    </w:rPr>
  </w:style>
  <w:style w:type="character" w:customStyle="1" w:styleId="13">
    <w:name w:val="批注框文本 Char"/>
    <w:basedOn w:val="10"/>
    <w:link w:val="6"/>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fontstyle01"/>
    <w:basedOn w:val="10"/>
    <w:qFormat/>
    <w:uiPriority w:val="0"/>
    <w:rPr>
      <w:rFonts w:hint="eastAsia" w:ascii="宋体" w:hAnsi="宋体" w:eastAsia="宋体"/>
      <w:color w:val="000000"/>
      <w:sz w:val="24"/>
      <w:szCs w:val="24"/>
    </w:rPr>
  </w:style>
  <w:style w:type="character" w:customStyle="1" w:styleId="16">
    <w:name w:val="fontstyle21"/>
    <w:basedOn w:val="10"/>
    <w:qFormat/>
    <w:uiPriority w:val="0"/>
    <w:rPr>
      <w:rFonts w:hint="default" w:ascii="Times New Roman" w:hAnsi="Times New Roman" w:cs="Times New Roman"/>
      <w:color w:val="000000"/>
      <w:sz w:val="24"/>
      <w:szCs w:val="24"/>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969</Words>
  <Characters>5529</Characters>
  <Lines>46</Lines>
  <Paragraphs>12</Paragraphs>
  <TotalTime>0</TotalTime>
  <ScaleCrop>false</ScaleCrop>
  <LinksUpToDate>false</LinksUpToDate>
  <CharactersWithSpaces>6486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2021-12-10T03:27:44Z</dcterms:modified>
  <cp:revision>716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A855C52F707647C28D1A25E42EC11076</vt:lpwstr>
  </property>
</Properties>
</file>