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-848360</wp:posOffset>
            </wp:positionH>
            <wp:positionV relativeFrom="paragraph">
              <wp:posOffset>-788670</wp:posOffset>
            </wp:positionV>
            <wp:extent cx="8149590" cy="11245850"/>
            <wp:effectExtent l="0" t="0" r="3810" b="6350"/>
            <wp:wrapNone/>
            <wp:docPr id="2" name="图片 2" descr="扫描全能王 2021-11-30 14.19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30 14.19_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9590" cy="1124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0216-2020-2021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成都易信达科技股份有限公司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研发部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徐大勇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在研发部检查时发现该部门使用编号4076型号为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)㎜/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的数显游标卡尺提供不了溯源证明。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 7.3.2条款的要求。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立即将编号4076型号为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)㎜/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的数显游标卡尺送检，检查测量设备台账还有没有类似情况，一并送检。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5F2AFB"/>
    <w:rsid w:val="68722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2021-11-30T06:34:56Z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3C68ACF6EE444C58A248AB50B98E285F</vt:lpwstr>
  </property>
</Properties>
</file>