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卡箍头硬度检测过程不确定度评定报告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GB/T231.1-2018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金属材料 布氏硬度试验 第1部分：试验方法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 w:ascii="Times New Roman" w:hAnsi="Times New Roman" w:cs="Times New Roman"/>
          <w:lang w:val="en-US" w:eastAsia="zh-CN"/>
        </w:rPr>
        <w:t>（10-35）</w:t>
      </w:r>
      <w:r>
        <w:rPr>
          <w:rFonts w:hint="eastAsia" w:ascii="宋体" w:hAnsi="宋体" w:eastAsia="宋体" w:cs="宋体"/>
          <w:lang w:val="en-US" w:eastAsia="zh-CN"/>
        </w:rPr>
        <w:t>℃</w:t>
      </w:r>
    </w:p>
    <w:p>
      <w:pPr>
        <w:spacing w:line="360" w:lineRule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规格型号为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HB-3000B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布氏硬度计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2.5%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,不确定度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rel=1.8%,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</w:t>
      </w:r>
    </w:p>
    <w:p>
      <w:pP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硬度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要求</w:t>
      </w:r>
      <w:r>
        <w:rPr>
          <w:rFonts w:hint="default" w:ascii="Arial" w:hAnsi="Arial" w:eastAsia="宋体" w:cs="Arial"/>
          <w:color w:val="auto"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174HBW，经验值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（174-210）HBW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GB/T231.1-2018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金属材料 布氏硬度试验 第1部分：试验方法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的测量方法，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eastAsia" w:cs="Times New Roman"/>
          <w:sz w:val="24"/>
          <w:szCs w:val="24"/>
          <w:lang w:val="en-US" w:eastAsia="zh-CN"/>
        </w:rPr>
        <w:t>卡箍头硬度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进行测量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,记录数据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pStyle w:val="9"/>
        <w:numPr>
          <w:numId w:val="0"/>
        </w:numPr>
        <w:autoSpaceDE w:val="0"/>
        <w:autoSpaceDN w:val="0"/>
        <w:adjustRightInd w:val="0"/>
        <w:spacing w:line="360" w:lineRule="auto"/>
        <w:ind w:leftChars="0"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cs="Times New Roman"/>
            <w:position w:val="-4"/>
            <w:sz w:val="24"/>
            <w:szCs w:val="24"/>
            <w:lang w:val="en-US" w:eastAsia="zh-CN"/>
          </w:rPr>
          <m:t>H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  <m:r>
          <m:rPr/>
          <w:rPr>
            <w:rFonts w:hint="default" w:ascii="Cambria Math" w:hAnsi="Cambria Math" w:cs="Times New Roman"/>
            <w:position w:val="-4"/>
            <w:sz w:val="24"/>
            <w:szCs w:val="24"/>
            <w:lang w:val="en-US" w:eastAsia="zh-CN"/>
          </w:rPr>
          <m:t>H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cs="Times New Roman"/>
            <w:position w:val="-4"/>
            <w:sz w:val="24"/>
            <w:szCs w:val="24"/>
            <w:lang w:val="en-US" w:eastAsia="zh-CN"/>
          </w:rPr>
          <m:t>H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硬度检查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结果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硬度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来源：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3"/>
        </w:numPr>
        <w:spacing w:line="360" w:lineRule="auto"/>
        <w:ind w:left="14" w:leftChars="0" w:firstLine="616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cs="Times New Roman"/>
          <w:sz w:val="24"/>
          <w:szCs w:val="24"/>
          <w:lang w:val="en-US" w:eastAsia="zh-CN"/>
        </w:rPr>
        <w:t>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做A类评定测量：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布氏硬度计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eastAsia" w:cs="Times New Roman"/>
          <w:sz w:val="24"/>
          <w:szCs w:val="24"/>
          <w:lang w:val="en-US" w:eastAsia="zh-CN"/>
        </w:rPr>
        <w:t>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布氏硬度计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部件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直径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H(HBW)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194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196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H(HBW)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194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192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2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88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0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2.108HBW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cs="Times New Roman"/>
          <w:bCs/>
          <w:color w:val="auto"/>
          <w:sz w:val="24"/>
          <w:szCs w:val="24"/>
          <w:lang w:val="en-US" w:eastAsia="zh-CN"/>
        </w:rPr>
        <w:t>查规格型号为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HB-3000B布氏硬度计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2.5%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2.5%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7" o:spt="75" type="#_x0000_t75" style="height:33pt;width:175.9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于表2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2.108HBW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2.771HBW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合成标准不确定度按下式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40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3.48HBW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6.96HBW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6.96HBW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81D38"/>
    <w:multiLevelType w:val="singleLevel"/>
    <w:tmpl w:val="92381D38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14"/>
      </w:pPr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7C6F44"/>
    <w:rsid w:val="01A572D6"/>
    <w:rsid w:val="029D4DA9"/>
    <w:rsid w:val="033A7641"/>
    <w:rsid w:val="0436565A"/>
    <w:rsid w:val="04444815"/>
    <w:rsid w:val="04465B69"/>
    <w:rsid w:val="059C21AC"/>
    <w:rsid w:val="05D84213"/>
    <w:rsid w:val="06012B34"/>
    <w:rsid w:val="062619D7"/>
    <w:rsid w:val="063C65F3"/>
    <w:rsid w:val="06C201D1"/>
    <w:rsid w:val="06F852DC"/>
    <w:rsid w:val="07640BC6"/>
    <w:rsid w:val="07736171"/>
    <w:rsid w:val="07A35956"/>
    <w:rsid w:val="07AF0615"/>
    <w:rsid w:val="08EE355A"/>
    <w:rsid w:val="08F61E9B"/>
    <w:rsid w:val="096B5827"/>
    <w:rsid w:val="09B83C76"/>
    <w:rsid w:val="09BE7075"/>
    <w:rsid w:val="0A9A5E74"/>
    <w:rsid w:val="0AAA056F"/>
    <w:rsid w:val="0AB539B9"/>
    <w:rsid w:val="0B093D05"/>
    <w:rsid w:val="0B095AB3"/>
    <w:rsid w:val="0B397FDA"/>
    <w:rsid w:val="0B571171"/>
    <w:rsid w:val="0C1512F7"/>
    <w:rsid w:val="0C5E597F"/>
    <w:rsid w:val="0DA76821"/>
    <w:rsid w:val="0DC07BA3"/>
    <w:rsid w:val="0DD12DD6"/>
    <w:rsid w:val="0DFD4444"/>
    <w:rsid w:val="0E1326AB"/>
    <w:rsid w:val="0E2137A4"/>
    <w:rsid w:val="0EBC1312"/>
    <w:rsid w:val="0ECC0C7D"/>
    <w:rsid w:val="0EEB4B2B"/>
    <w:rsid w:val="0F332BF1"/>
    <w:rsid w:val="105C78FE"/>
    <w:rsid w:val="10C76CC6"/>
    <w:rsid w:val="117068EC"/>
    <w:rsid w:val="11AF1B39"/>
    <w:rsid w:val="11DD0A90"/>
    <w:rsid w:val="129E0D65"/>
    <w:rsid w:val="13393B7B"/>
    <w:rsid w:val="13873537"/>
    <w:rsid w:val="13CA4424"/>
    <w:rsid w:val="143E7388"/>
    <w:rsid w:val="150669D4"/>
    <w:rsid w:val="15741294"/>
    <w:rsid w:val="1581369B"/>
    <w:rsid w:val="15844914"/>
    <w:rsid w:val="158B5187"/>
    <w:rsid w:val="15F118EA"/>
    <w:rsid w:val="175072CC"/>
    <w:rsid w:val="17B74778"/>
    <w:rsid w:val="18175742"/>
    <w:rsid w:val="183E7280"/>
    <w:rsid w:val="185302DE"/>
    <w:rsid w:val="1891397E"/>
    <w:rsid w:val="192E10A5"/>
    <w:rsid w:val="19905B34"/>
    <w:rsid w:val="1AC56532"/>
    <w:rsid w:val="1AF87875"/>
    <w:rsid w:val="1B8F690F"/>
    <w:rsid w:val="1C453514"/>
    <w:rsid w:val="1C5D6E6B"/>
    <w:rsid w:val="1D4D143B"/>
    <w:rsid w:val="1D734404"/>
    <w:rsid w:val="1D936C66"/>
    <w:rsid w:val="1DEE5DF2"/>
    <w:rsid w:val="1E8402C8"/>
    <w:rsid w:val="1E9658DA"/>
    <w:rsid w:val="1EB12C37"/>
    <w:rsid w:val="207B4428"/>
    <w:rsid w:val="218956D2"/>
    <w:rsid w:val="21EB04E3"/>
    <w:rsid w:val="222157FC"/>
    <w:rsid w:val="22345A2F"/>
    <w:rsid w:val="22A05F60"/>
    <w:rsid w:val="23557BE4"/>
    <w:rsid w:val="23A470A8"/>
    <w:rsid w:val="23B547D3"/>
    <w:rsid w:val="23DB2617"/>
    <w:rsid w:val="24CB6DA3"/>
    <w:rsid w:val="25260F41"/>
    <w:rsid w:val="25263E94"/>
    <w:rsid w:val="25947BCD"/>
    <w:rsid w:val="25C47678"/>
    <w:rsid w:val="25F1147C"/>
    <w:rsid w:val="26AA6502"/>
    <w:rsid w:val="27435D7E"/>
    <w:rsid w:val="27725E1D"/>
    <w:rsid w:val="280A2556"/>
    <w:rsid w:val="287857C0"/>
    <w:rsid w:val="28856985"/>
    <w:rsid w:val="28F21DA6"/>
    <w:rsid w:val="292A5016"/>
    <w:rsid w:val="295E52F6"/>
    <w:rsid w:val="2AE95DBC"/>
    <w:rsid w:val="2B183C58"/>
    <w:rsid w:val="2B2D6DB5"/>
    <w:rsid w:val="2B6435E7"/>
    <w:rsid w:val="2C7F5B3F"/>
    <w:rsid w:val="2F113080"/>
    <w:rsid w:val="2F71161C"/>
    <w:rsid w:val="2FA2223C"/>
    <w:rsid w:val="2FD87A17"/>
    <w:rsid w:val="2FE46889"/>
    <w:rsid w:val="30797CCF"/>
    <w:rsid w:val="30BC705F"/>
    <w:rsid w:val="313A05C4"/>
    <w:rsid w:val="31476743"/>
    <w:rsid w:val="31520F6C"/>
    <w:rsid w:val="32FD5AF2"/>
    <w:rsid w:val="33C6591C"/>
    <w:rsid w:val="34744443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53212"/>
    <w:rsid w:val="37FA07CE"/>
    <w:rsid w:val="3832240A"/>
    <w:rsid w:val="385C5CFF"/>
    <w:rsid w:val="38994C79"/>
    <w:rsid w:val="38C772C4"/>
    <w:rsid w:val="38C90541"/>
    <w:rsid w:val="392A3940"/>
    <w:rsid w:val="39983970"/>
    <w:rsid w:val="39F96B6F"/>
    <w:rsid w:val="3A366619"/>
    <w:rsid w:val="3A8F2653"/>
    <w:rsid w:val="3A9E7CD6"/>
    <w:rsid w:val="3B264B4E"/>
    <w:rsid w:val="3BF515B8"/>
    <w:rsid w:val="3C840873"/>
    <w:rsid w:val="3C8C7105"/>
    <w:rsid w:val="3CD52698"/>
    <w:rsid w:val="3CE82B49"/>
    <w:rsid w:val="3CEB7BFD"/>
    <w:rsid w:val="3D5935CD"/>
    <w:rsid w:val="3E782D86"/>
    <w:rsid w:val="3F0C0AE0"/>
    <w:rsid w:val="3F113FAD"/>
    <w:rsid w:val="3F3018DD"/>
    <w:rsid w:val="3F45685F"/>
    <w:rsid w:val="3F652FF2"/>
    <w:rsid w:val="3F6903D3"/>
    <w:rsid w:val="3F6A1D37"/>
    <w:rsid w:val="3FA173DB"/>
    <w:rsid w:val="3FB17206"/>
    <w:rsid w:val="40546965"/>
    <w:rsid w:val="409F2474"/>
    <w:rsid w:val="41733268"/>
    <w:rsid w:val="41962551"/>
    <w:rsid w:val="41963CF9"/>
    <w:rsid w:val="41F052E7"/>
    <w:rsid w:val="420A266B"/>
    <w:rsid w:val="422051D1"/>
    <w:rsid w:val="42DB72D5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7115130"/>
    <w:rsid w:val="47674205"/>
    <w:rsid w:val="478871A8"/>
    <w:rsid w:val="479F28A6"/>
    <w:rsid w:val="481174DD"/>
    <w:rsid w:val="48934C89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58343D"/>
    <w:rsid w:val="4AA30074"/>
    <w:rsid w:val="4AFB201B"/>
    <w:rsid w:val="4B5B305B"/>
    <w:rsid w:val="4BA806D8"/>
    <w:rsid w:val="4C4E578C"/>
    <w:rsid w:val="4CD60CFE"/>
    <w:rsid w:val="4DEC72AA"/>
    <w:rsid w:val="4E9273F7"/>
    <w:rsid w:val="4EDA1BF8"/>
    <w:rsid w:val="4F3508CD"/>
    <w:rsid w:val="4F4B7671"/>
    <w:rsid w:val="4F72099F"/>
    <w:rsid w:val="4FC501D3"/>
    <w:rsid w:val="506A3EB6"/>
    <w:rsid w:val="50922A67"/>
    <w:rsid w:val="50FD4AA8"/>
    <w:rsid w:val="51D17925"/>
    <w:rsid w:val="51D71733"/>
    <w:rsid w:val="52163E48"/>
    <w:rsid w:val="52315D80"/>
    <w:rsid w:val="526747A8"/>
    <w:rsid w:val="53693190"/>
    <w:rsid w:val="546F1767"/>
    <w:rsid w:val="54AE769F"/>
    <w:rsid w:val="54E10FF2"/>
    <w:rsid w:val="54E16A9D"/>
    <w:rsid w:val="550D2A39"/>
    <w:rsid w:val="558C45D2"/>
    <w:rsid w:val="55BA7E5F"/>
    <w:rsid w:val="55E0145F"/>
    <w:rsid w:val="561C144A"/>
    <w:rsid w:val="57304483"/>
    <w:rsid w:val="57B1510A"/>
    <w:rsid w:val="57CC2099"/>
    <w:rsid w:val="589249BA"/>
    <w:rsid w:val="58F91F1B"/>
    <w:rsid w:val="59106465"/>
    <w:rsid w:val="5944689B"/>
    <w:rsid w:val="5A36542E"/>
    <w:rsid w:val="5A3F282F"/>
    <w:rsid w:val="5ACE0218"/>
    <w:rsid w:val="5AFA05EF"/>
    <w:rsid w:val="5B73097A"/>
    <w:rsid w:val="5BEA2D95"/>
    <w:rsid w:val="5D7B6436"/>
    <w:rsid w:val="5DA04371"/>
    <w:rsid w:val="5DB553B5"/>
    <w:rsid w:val="5E6C67F7"/>
    <w:rsid w:val="5EFD54A6"/>
    <w:rsid w:val="5FAD03C0"/>
    <w:rsid w:val="5FBA6C7D"/>
    <w:rsid w:val="5FD11675"/>
    <w:rsid w:val="6001421E"/>
    <w:rsid w:val="600B2CAE"/>
    <w:rsid w:val="608A1A1F"/>
    <w:rsid w:val="60A22F1C"/>
    <w:rsid w:val="60D00EE4"/>
    <w:rsid w:val="613D3F37"/>
    <w:rsid w:val="614439C5"/>
    <w:rsid w:val="61A57243"/>
    <w:rsid w:val="61E97D47"/>
    <w:rsid w:val="626D437E"/>
    <w:rsid w:val="629B5D9F"/>
    <w:rsid w:val="62B15989"/>
    <w:rsid w:val="6304360C"/>
    <w:rsid w:val="63BD10F1"/>
    <w:rsid w:val="63DB627B"/>
    <w:rsid w:val="64350C74"/>
    <w:rsid w:val="643D3E49"/>
    <w:rsid w:val="64731D3A"/>
    <w:rsid w:val="66E86E18"/>
    <w:rsid w:val="67A448EF"/>
    <w:rsid w:val="681B0E89"/>
    <w:rsid w:val="687136DB"/>
    <w:rsid w:val="6A69028E"/>
    <w:rsid w:val="6A764632"/>
    <w:rsid w:val="6A871B8E"/>
    <w:rsid w:val="6A8B5143"/>
    <w:rsid w:val="6B5972DA"/>
    <w:rsid w:val="6BCE3701"/>
    <w:rsid w:val="6BF70BCC"/>
    <w:rsid w:val="6C5A5A6D"/>
    <w:rsid w:val="6C8C4BC0"/>
    <w:rsid w:val="6CB540F2"/>
    <w:rsid w:val="6CBF09D5"/>
    <w:rsid w:val="6D1A7968"/>
    <w:rsid w:val="6D55250A"/>
    <w:rsid w:val="6E194DD2"/>
    <w:rsid w:val="6E9F7006"/>
    <w:rsid w:val="6EA232AD"/>
    <w:rsid w:val="6EDD43E7"/>
    <w:rsid w:val="6FFE61E8"/>
    <w:rsid w:val="70527D58"/>
    <w:rsid w:val="717E17C0"/>
    <w:rsid w:val="71927C9E"/>
    <w:rsid w:val="71F52FD3"/>
    <w:rsid w:val="733C6C07"/>
    <w:rsid w:val="7376125A"/>
    <w:rsid w:val="753B0584"/>
    <w:rsid w:val="75513159"/>
    <w:rsid w:val="75622865"/>
    <w:rsid w:val="757D6372"/>
    <w:rsid w:val="761B2F44"/>
    <w:rsid w:val="768F183D"/>
    <w:rsid w:val="776148F4"/>
    <w:rsid w:val="7786572D"/>
    <w:rsid w:val="784903B4"/>
    <w:rsid w:val="789B1DCD"/>
    <w:rsid w:val="78E1237D"/>
    <w:rsid w:val="78E320FF"/>
    <w:rsid w:val="78EB596B"/>
    <w:rsid w:val="79507382"/>
    <w:rsid w:val="799A7EE7"/>
    <w:rsid w:val="79FE3680"/>
    <w:rsid w:val="7A0743D6"/>
    <w:rsid w:val="7A0963C2"/>
    <w:rsid w:val="7A2B1906"/>
    <w:rsid w:val="7A4A6002"/>
    <w:rsid w:val="7A7B1BBB"/>
    <w:rsid w:val="7A7F2C28"/>
    <w:rsid w:val="7ADD5596"/>
    <w:rsid w:val="7B1A5A17"/>
    <w:rsid w:val="7B4F3879"/>
    <w:rsid w:val="7B7F6484"/>
    <w:rsid w:val="7BC66D41"/>
    <w:rsid w:val="7D430E86"/>
    <w:rsid w:val="7DC46F29"/>
    <w:rsid w:val="7DE91E93"/>
    <w:rsid w:val="7E320E13"/>
    <w:rsid w:val="7E3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9</TotalTime>
  <ScaleCrop>false</ScaleCrop>
  <LinksUpToDate>false</LinksUpToDate>
  <CharactersWithSpaces>1424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2021-12-08T12:23:33Z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EB79D4AB25BF4281BCA7C6C912471FBA</vt:lpwstr>
  </property>
</Properties>
</file>