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jc w:val="cente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bookmarkStart w:id="4" w:name="EnMS勾选"/>
      <w:r>
        <w:rPr>
          <w:rFonts w:hint="eastAsia"/>
          <w:b/>
          <w:sz w:val="22"/>
          <w:szCs w:val="22"/>
        </w:rPr>
        <w:t>□</w:t>
      </w:r>
      <w:bookmarkEnd w:id="4"/>
      <w:r>
        <w:rPr>
          <w:rFonts w:hint="eastAsia"/>
          <w:b/>
          <w:sz w:val="22"/>
          <w:szCs w:val="22"/>
        </w:rPr>
        <w:t>EnMS</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rPr>
          <w:b/>
          <w:sz w:val="22"/>
          <w:szCs w:val="22"/>
        </w:rPr>
      </w:pP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162"/>
        <w:gridCol w:w="1188"/>
        <w:gridCol w:w="1346"/>
        <w:gridCol w:w="779"/>
        <w:gridCol w:w="510"/>
        <w:gridCol w:w="1040"/>
        <w:gridCol w:w="464"/>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3313" w:type="dxa"/>
            <w:gridSpan w:val="3"/>
            <w:tcBorders>
              <w:top w:val="single" w:color="auto" w:sz="8" w:space="0"/>
            </w:tcBorders>
            <w:vAlign w:val="center"/>
          </w:tcPr>
          <w:p>
            <w:pPr>
              <w:snapToGrid w:val="0"/>
              <w:spacing w:line="280" w:lineRule="exact"/>
              <w:jc w:val="center"/>
              <w:rPr>
                <w:b/>
                <w:sz w:val="20"/>
              </w:rPr>
            </w:pPr>
            <w:bookmarkStart w:id="7" w:name="组织名称"/>
            <w:r>
              <w:rPr>
                <w:b/>
                <w:sz w:val="20"/>
              </w:rPr>
              <w:t>成都黄氏漆业有限公司</w:t>
            </w:r>
            <w:bookmarkEnd w:id="7"/>
          </w:p>
        </w:tc>
        <w:tc>
          <w:tcPr>
            <w:tcW w:w="1550"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3561" w:type="dxa"/>
            <w:gridSpan w:val="4"/>
            <w:tcBorders>
              <w:top w:val="single" w:color="auto" w:sz="8" w:space="0"/>
            </w:tcBorders>
            <w:vAlign w:val="center"/>
          </w:tcPr>
          <w:p>
            <w:pPr>
              <w:snapToGrid w:val="0"/>
              <w:spacing w:line="280" w:lineRule="exact"/>
              <w:ind w:left="52"/>
              <w:jc w:val="left"/>
              <w:rPr>
                <w:b/>
                <w:sz w:val="20"/>
              </w:rPr>
            </w:pPr>
            <w:bookmarkStart w:id="8" w:name="专业代码"/>
            <w:r>
              <w:rPr>
                <w:b/>
                <w:sz w:val="20"/>
              </w:rPr>
              <w:t>Q</w:t>
            </w:r>
            <w:r>
              <w:rPr>
                <w:rFonts w:hint="eastAsia"/>
                <w:b/>
                <w:sz w:val="20"/>
                <w:lang w:val="en-US" w:eastAsia="zh-CN"/>
              </w:rPr>
              <w:t>:</w:t>
            </w:r>
            <w:r>
              <w:rPr>
                <w:b/>
                <w:sz w:val="20"/>
              </w:rPr>
              <w:t>12.03.00;12.05.02;14.02.01;16.02.05</w:t>
            </w:r>
          </w:p>
          <w:p>
            <w:pPr>
              <w:snapToGrid w:val="0"/>
              <w:spacing w:line="280" w:lineRule="exact"/>
              <w:ind w:left="52"/>
              <w:jc w:val="left"/>
              <w:rPr>
                <w:b/>
                <w:sz w:val="20"/>
              </w:rPr>
            </w:pPr>
            <w:r>
              <w:rPr>
                <w:b/>
                <w:sz w:val="20"/>
              </w:rPr>
              <w:t>E</w:t>
            </w:r>
            <w:r>
              <w:rPr>
                <w:rFonts w:hint="eastAsia"/>
                <w:b/>
                <w:sz w:val="20"/>
                <w:lang w:val="en-US" w:eastAsia="zh-CN"/>
              </w:rPr>
              <w:t>:</w:t>
            </w:r>
            <w:r>
              <w:rPr>
                <w:b/>
                <w:sz w:val="20"/>
              </w:rPr>
              <w:t>12.03.00;12.05.02;14.02.01;16.02.05</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4" w:type="dxa"/>
            <w:gridSpan w:val="2"/>
            <w:vAlign w:val="center"/>
          </w:tcPr>
          <w:p>
            <w:pPr>
              <w:snapToGrid w:val="0"/>
              <w:spacing w:line="280" w:lineRule="exact"/>
              <w:jc w:val="center"/>
              <w:rPr>
                <w:b/>
                <w:sz w:val="20"/>
              </w:rPr>
            </w:pPr>
            <w:r>
              <w:rPr>
                <w:rFonts w:hint="eastAsia"/>
                <w:b/>
                <w:sz w:val="20"/>
                <w:szCs w:val="22"/>
                <w:lang w:val="en-US" w:eastAsia="zh-CN"/>
              </w:rPr>
              <w:t>李金一</w:t>
            </w:r>
          </w:p>
        </w:tc>
        <w:tc>
          <w:tcPr>
            <w:tcW w:w="1289" w:type="dxa"/>
            <w:gridSpan w:val="2"/>
            <w:vAlign w:val="center"/>
          </w:tcPr>
          <w:p>
            <w:pPr>
              <w:snapToGrid w:val="0"/>
              <w:spacing w:line="280" w:lineRule="exact"/>
              <w:jc w:val="center"/>
              <w:rPr>
                <w:b/>
                <w:sz w:val="22"/>
                <w:szCs w:val="22"/>
              </w:rPr>
            </w:pPr>
            <w:r>
              <w:rPr>
                <w:rFonts w:hint="eastAsia"/>
                <w:b/>
                <w:sz w:val="22"/>
                <w:szCs w:val="22"/>
              </w:rPr>
              <w:t>专业</w:t>
            </w:r>
          </w:p>
        </w:tc>
        <w:tc>
          <w:tcPr>
            <w:tcW w:w="1504"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同上</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087"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162" w:type="dxa"/>
            <w:vAlign w:val="center"/>
          </w:tcPr>
          <w:p>
            <w:pPr>
              <w:snapToGrid w:val="0"/>
              <w:jc w:val="center"/>
              <w:rPr>
                <w:b/>
                <w:sz w:val="20"/>
              </w:rPr>
            </w:pPr>
            <w:r>
              <w:rPr>
                <w:rFonts w:hint="eastAsia"/>
                <w:b/>
                <w:sz w:val="20"/>
              </w:rPr>
              <w:t>姓名</w:t>
            </w:r>
          </w:p>
        </w:tc>
        <w:tc>
          <w:tcPr>
            <w:tcW w:w="1188"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李林</w:t>
            </w:r>
          </w:p>
        </w:tc>
        <w:tc>
          <w:tcPr>
            <w:tcW w:w="1346" w:type="dxa"/>
            <w:vAlign w:val="center"/>
          </w:tcPr>
          <w:p>
            <w:pPr>
              <w:snapToGrid w:val="0"/>
              <w:spacing w:line="360" w:lineRule="exact"/>
              <w:jc w:val="center"/>
              <w:rPr>
                <w:b/>
                <w:sz w:val="20"/>
              </w:rPr>
            </w:pPr>
          </w:p>
        </w:tc>
        <w:tc>
          <w:tcPr>
            <w:tcW w:w="1289" w:type="dxa"/>
            <w:gridSpan w:val="2"/>
            <w:vAlign w:val="center"/>
          </w:tcPr>
          <w:p>
            <w:pPr>
              <w:snapToGrid w:val="0"/>
              <w:spacing w:line="360" w:lineRule="exact"/>
              <w:jc w:val="center"/>
              <w:rPr>
                <w:b/>
                <w:sz w:val="20"/>
              </w:rPr>
            </w:pPr>
          </w:p>
        </w:tc>
        <w:tc>
          <w:tcPr>
            <w:tcW w:w="1504" w:type="dxa"/>
            <w:gridSpan w:val="2"/>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9"/>
            <w:vAlign w:val="center"/>
          </w:tcPr>
          <w:p>
            <w:pPr>
              <w:spacing w:line="400" w:lineRule="exact"/>
              <w:rPr>
                <w:rFonts w:hint="eastAsia"/>
                <w:sz w:val="21"/>
                <w:szCs w:val="21"/>
              </w:rPr>
            </w:pPr>
            <w:r>
              <w:rPr>
                <w:rFonts w:hint="eastAsia"/>
                <w:sz w:val="21"/>
                <w:szCs w:val="21"/>
              </w:rPr>
              <w:t>涂料流程：原料配比——预混——分散——调配——检验——包装</w:t>
            </w:r>
          </w:p>
          <w:p>
            <w:pPr>
              <w:spacing w:line="400" w:lineRule="exact"/>
              <w:rPr>
                <w:rFonts w:hint="eastAsia"/>
                <w:sz w:val="21"/>
                <w:szCs w:val="21"/>
              </w:rPr>
            </w:pPr>
            <w:r>
              <w:rPr>
                <w:rFonts w:hint="eastAsia"/>
                <w:sz w:val="21"/>
                <w:szCs w:val="21"/>
              </w:rPr>
              <w:t>胶粘剂流程：原料配比——混合搅拌——</w:t>
            </w:r>
            <w:r>
              <w:rPr>
                <w:rFonts w:hint="eastAsia"/>
                <w:sz w:val="21"/>
                <w:szCs w:val="21"/>
                <w:lang w:val="en-US" w:eastAsia="zh-CN"/>
              </w:rPr>
              <w:t>检验</w:t>
            </w:r>
            <w:r>
              <w:rPr>
                <w:rFonts w:hint="eastAsia"/>
                <w:sz w:val="21"/>
                <w:szCs w:val="21"/>
              </w:rPr>
              <w:t>——包装</w:t>
            </w:r>
          </w:p>
          <w:p>
            <w:pPr>
              <w:spacing w:line="400" w:lineRule="exact"/>
              <w:rPr>
                <w:rFonts w:ascii="Times New Roman" w:hAnsi="Times New Roman" w:eastAsia="宋体" w:cs="Times New Roman"/>
                <w:b/>
                <w:kern w:val="2"/>
                <w:sz w:val="20"/>
                <w:lang w:val="en-US" w:eastAsia="zh-CN" w:bidi="ar-SA"/>
              </w:rPr>
            </w:pPr>
            <w:r>
              <w:rPr>
                <w:rFonts w:hint="eastAsia"/>
                <w:sz w:val="21"/>
                <w:szCs w:val="21"/>
              </w:rPr>
              <w:t>墙体保温材料流程：原料配比——混合搅拌——成型——检验——包装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rPr>
            </w:pPr>
            <w:r>
              <w:rPr>
                <w:rFonts w:hint="eastAsia"/>
                <w:b/>
                <w:sz w:val="20"/>
              </w:rPr>
              <w:t>特殊过程的控制</w:t>
            </w:r>
            <w:r>
              <w:rPr>
                <w:b/>
                <w:sz w:val="20"/>
              </w:rPr>
              <w:t>/</w:t>
            </w:r>
          </w:p>
        </w:tc>
        <w:tc>
          <w:tcPr>
            <w:tcW w:w="8424" w:type="dxa"/>
            <w:gridSpan w:val="9"/>
            <w:vAlign w:val="center"/>
          </w:tcPr>
          <w:p>
            <w:pPr>
              <w:spacing w:line="400" w:lineRule="exact"/>
              <w:rPr>
                <w:rFonts w:hint="eastAsia"/>
                <w:sz w:val="21"/>
                <w:szCs w:val="21"/>
                <w:lang w:eastAsia="zh-CN"/>
              </w:rPr>
            </w:pPr>
            <w:r>
              <w:rPr>
                <w:rFonts w:hint="eastAsia"/>
                <w:sz w:val="21"/>
                <w:szCs w:val="21"/>
                <w:lang w:val="en-US" w:eastAsia="zh-CN"/>
              </w:rPr>
              <w:t>特殊过程：</w:t>
            </w:r>
            <w:r>
              <w:rPr>
                <w:rFonts w:hint="eastAsia"/>
                <w:sz w:val="21"/>
                <w:szCs w:val="21"/>
              </w:rPr>
              <w:t>原料配比、混合搅拌</w:t>
            </w:r>
            <w:r>
              <w:rPr>
                <w:rFonts w:hint="eastAsia"/>
                <w:sz w:val="21"/>
                <w:szCs w:val="21"/>
                <w:lang w:eastAsia="zh-CN"/>
              </w:rPr>
              <w:t>；</w:t>
            </w:r>
          </w:p>
          <w:p>
            <w:pPr>
              <w:spacing w:line="400" w:lineRule="exact"/>
              <w:rPr>
                <w:rFonts w:hint="default" w:ascii="Times New Roman" w:hAnsi="Times New Roman" w:eastAsia="宋体" w:cs="Times New Roman"/>
                <w:kern w:val="2"/>
                <w:sz w:val="21"/>
                <w:szCs w:val="21"/>
                <w:lang w:val="en-US" w:eastAsia="zh-CN" w:bidi="ar-SA"/>
              </w:rPr>
            </w:pPr>
            <w:r>
              <w:rPr>
                <w:rFonts w:hint="eastAsia"/>
                <w:sz w:val="21"/>
                <w:szCs w:val="21"/>
              </w:rPr>
              <w:t>控制措施</w:t>
            </w:r>
            <w:r>
              <w:rPr>
                <w:rFonts w:hint="eastAsia"/>
                <w:sz w:val="21"/>
                <w:szCs w:val="21"/>
                <w:lang w:eastAsia="zh-CN"/>
              </w:rPr>
              <w:t>：</w:t>
            </w:r>
            <w:r>
              <w:rPr>
                <w:rFonts w:hint="eastAsia"/>
                <w:sz w:val="21"/>
                <w:szCs w:val="21"/>
                <w:lang w:val="en-US" w:eastAsia="zh-CN"/>
              </w:rPr>
              <w:t>作业指导书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9"/>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sz w:val="21"/>
                <w:szCs w:val="21"/>
              </w:rPr>
              <w:t>1）潜在火灾；2）固废的排放；3）废气、粉尘的排放；4）噪声的排放；5）废水的排放。通过管理方案和应急措施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bookmarkStart w:id="9" w:name="_GoBack" w:colFirst="2" w:colLast="7"/>
            <w:r>
              <w:rPr>
                <w:rFonts w:hint="eastAsia"/>
                <w:b/>
                <w:sz w:val="20"/>
              </w:rPr>
              <w:t>相关法律法规的要求及产品标准</w:t>
            </w:r>
          </w:p>
        </w:tc>
        <w:tc>
          <w:tcPr>
            <w:tcW w:w="8424" w:type="dxa"/>
            <w:gridSpan w:val="9"/>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ascii="宋体" w:hAnsi="宋体"/>
                <w:sz w:val="21"/>
                <w:szCs w:val="21"/>
              </w:rPr>
              <w:t>合同法、产品质量法、</w:t>
            </w:r>
            <w:r>
              <w:rPr>
                <w:rFonts w:hint="eastAsia"/>
                <w:sz w:val="21"/>
                <w:szCs w:val="21"/>
              </w:rPr>
              <w:t>室内装饰装修材料 内墙涂料中有害物资限量（GB18582-2008），合成树脂乳液内墙涂料（GB/T9750-2018），合成树脂乳液砂壁状建筑涂料（JG/T24-2018）,建筑室内用腻子（JG/T298-2010），建筑室外用腻子（JG/T157-2009），合成树脂乳液外墙涂料（GB/T9755-2014），不燃型复合膨胀聚苯乙烯泡沫保温板（硅质聚合聚苯板）Q/67217614-8.3-2017，污水排入城镇下水道水质标准（</w:t>
            </w:r>
            <w:r>
              <w:rPr>
                <w:sz w:val="21"/>
                <w:szCs w:val="21"/>
              </w:rPr>
              <w:t>GB/T 31962-2015</w:t>
            </w:r>
            <w:r>
              <w:rPr>
                <w:rFonts w:hint="eastAsia"/>
                <w:sz w:val="21"/>
                <w:szCs w:val="21"/>
              </w:rPr>
              <w:t>）B级、污水综合排放标准（GB8978-1996）三级，大气污染物综合排放标准（</w:t>
            </w:r>
            <w:r>
              <w:rPr>
                <w:sz w:val="21"/>
                <w:szCs w:val="21"/>
              </w:rPr>
              <w:t>GB 16297-1996</w:t>
            </w:r>
            <w:r>
              <w:rPr>
                <w:rFonts w:hint="eastAsia"/>
                <w:sz w:val="21"/>
                <w:szCs w:val="21"/>
              </w:rPr>
              <w:t>）2级，四川省固定污染源大气挥发性有机物排放标准（DB51/2377-2017）,工业企业厂界环境噪声排放标准（GB12348-2008）3类</w:t>
            </w:r>
            <w:r>
              <w:rPr>
                <w:rFonts w:hint="eastAsia" w:ascii="宋体" w:hAnsi="宋体"/>
                <w:sz w:val="21"/>
                <w:szCs w:val="21"/>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9"/>
            <w:vAlign w:val="center"/>
          </w:tcPr>
          <w:p>
            <w:pPr>
              <w:snapToGrid w:val="0"/>
              <w:spacing w:line="280" w:lineRule="exact"/>
              <w:jc w:val="left"/>
              <w:rPr>
                <w:rFonts w:hint="default" w:ascii="Times New Roman" w:hAnsi="Times New Roman" w:eastAsia="宋体" w:cs="Times New Roman"/>
                <w:b/>
                <w:kern w:val="2"/>
                <w:sz w:val="20"/>
                <w:highlight w:val="none"/>
                <w:lang w:val="en-US" w:eastAsia="zh-CN" w:bidi="ar-SA"/>
              </w:rPr>
            </w:pPr>
            <w:r>
              <w:rPr>
                <w:rFonts w:hint="eastAsia"/>
                <w:sz w:val="21"/>
                <w:szCs w:val="21"/>
                <w:highlight w:val="none"/>
                <w:lang w:val="en-US" w:eastAsia="zh-CN"/>
              </w:rPr>
              <w:t>提供成都市郫都区市场和质量监督管理局对外墙乳胶漆的监督抽查检验报告以及水泥发泡板、不燃型复合膨胀聚苯乙烯保温板、胶粘剂等检验报告</w:t>
            </w:r>
          </w:p>
        </w:tc>
      </w:tr>
      <w:bookmarkEnd w:id="9"/>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9"/>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4" w:type="dxa"/>
            <w:gridSpan w:val="2"/>
            <w:vAlign w:val="center"/>
          </w:tcPr>
          <w:p>
            <w:pPr>
              <w:snapToGrid w:val="0"/>
              <w:spacing w:line="280" w:lineRule="exact"/>
              <w:jc w:val="center"/>
              <w:rPr>
                <w:b/>
                <w:sz w:val="20"/>
              </w:rPr>
            </w:pPr>
          </w:p>
        </w:tc>
        <w:tc>
          <w:tcPr>
            <w:tcW w:w="2983" w:type="dxa"/>
            <w:gridSpan w:val="5"/>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4" w:type="dxa"/>
            <w:gridSpan w:val="2"/>
            <w:tcBorders>
              <w:bottom w:val="single" w:color="auto" w:sz="8" w:space="0"/>
            </w:tcBorders>
            <w:vAlign w:val="center"/>
          </w:tcPr>
          <w:p>
            <w:pPr>
              <w:snapToGrid w:val="0"/>
              <w:spacing w:line="280" w:lineRule="exact"/>
              <w:jc w:val="center"/>
              <w:rPr>
                <w:b/>
                <w:sz w:val="20"/>
              </w:rPr>
            </w:pPr>
          </w:p>
        </w:tc>
        <w:tc>
          <w:tcPr>
            <w:tcW w:w="2983" w:type="dxa"/>
            <w:gridSpan w:val="5"/>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10"/>
        <w:rFonts w:hint="default"/>
      </w:rPr>
    </w:pPr>
    <w:r>
      <w:rPr>
        <w:rStyle w:val="10"/>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900" w:firstLineChars="500"/>
      <w:jc w:val="left"/>
    </w:pPr>
    <w:r>
      <w:pict>
        <v:shape id="_x0000_s4097" o:spid="_x0000_s4097" o:spt="202" type="#_x0000_t202" style="position:absolute;left:0pt;margin-left:379.65pt;margin-top:2.8pt;height:20.2pt;width:111.8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1415DD"/>
    <w:rsid w:val="700E50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批注框文本 Char"/>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48</Words>
  <Characters>275</Characters>
  <Lines>2</Lines>
  <Paragraphs>1</Paragraphs>
  <TotalTime>2</TotalTime>
  <ScaleCrop>false</ScaleCrop>
  <LinksUpToDate>false</LinksUpToDate>
  <CharactersWithSpaces>322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Administrator</cp:lastModifiedBy>
  <dcterms:modified xsi:type="dcterms:W3CDTF">2021-12-03T05:09:55Z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2052-11.1.0.11045</vt:lpwstr>
  </property>
</Properties>
</file>