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"/>
        <w:gridCol w:w="796"/>
        <w:gridCol w:w="948"/>
        <w:gridCol w:w="1502"/>
        <w:gridCol w:w="591"/>
        <w:gridCol w:w="413"/>
        <w:gridCol w:w="658"/>
        <w:gridCol w:w="276"/>
        <w:gridCol w:w="762"/>
        <w:gridCol w:w="550"/>
        <w:gridCol w:w="203"/>
        <w:gridCol w:w="477"/>
        <w:gridCol w:w="141"/>
        <w:gridCol w:w="48"/>
        <w:gridCol w:w="1165"/>
        <w:gridCol w:w="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43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南京君通华江饭店有限责任公司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南京市鼓楼区中山北路178号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江苏省南京市鼓楼区湖南路街道中山北路178号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民国楼、迎宾楼、职工食堂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1257-2021-F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3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5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胡晓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18951738605</w:t>
            </w:r>
            <w:bookmarkStart w:id="22" w:name="_GoBack"/>
            <w:bookmarkEnd w:id="22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1132358667@qq.com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管理者代表"/>
            <w:r>
              <w:rPr>
                <w:sz w:val="21"/>
                <w:szCs w:val="21"/>
              </w:rPr>
              <w:t>韩恭萍</w:t>
            </w:r>
            <w:bookmarkEnd w:id="6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18951730815</w:t>
            </w:r>
          </w:p>
        </w:tc>
        <w:tc>
          <w:tcPr>
            <w:tcW w:w="61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8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9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6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6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□音频□视频□数据共享□远程接入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6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□笔记本电脑 □录像机 □照相机 □可穿戴设备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40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</w:t>
            </w:r>
            <w:r>
              <w:rPr>
                <w:sz w:val="21"/>
                <w:szCs w:val="21"/>
              </w:rPr>
              <w:t>江苏省南京市鼓楼区湖南路街道中山北路178号南京君通华江饭店有限责任公司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民国楼的热食类食品制售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9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5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 □GB/T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1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ISO22000：2018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1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 上午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:00 至2021年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0"/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：30(共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年   月   日上午   至   年   月  日  下午 (共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8006317769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2" w:type="dxa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2" w:type="dxa"/>
            <w:vAlign w:val="center"/>
          </w:tcPr>
          <w:p/>
        </w:tc>
        <w:tc>
          <w:tcPr>
            <w:tcW w:w="9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419" w:type="dxa"/>
            <w:gridSpan w:val="5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50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8006317769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4122"/>
        <w:gridCol w:w="178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到达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178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12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风险和机遇的控制、内外部沟通、体系策划过程、管理承诺相关过程、资源提供过程、管理评审过程、监视和测量规划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重大投诉处理、重大体系事故和变更管理、持续改进</w:t>
            </w:r>
            <w:r>
              <w:rPr>
                <w:rFonts w:hint="eastAsia"/>
                <w:sz w:val="21"/>
                <w:szCs w:val="21"/>
              </w:rPr>
              <w:t>、食品安全管理体系的更新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178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  <w:r>
              <w:rPr>
                <w:rFonts w:hint="eastAsia"/>
                <w:sz w:val="21"/>
                <w:szCs w:val="21"/>
              </w:rPr>
              <w:t>/10.3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:00-12:30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</w:t>
            </w:r>
            <w:r>
              <w:rPr>
                <w:rFonts w:hint="eastAsia"/>
                <w:sz w:val="21"/>
                <w:szCs w:val="21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产品实现策划、前提方案、</w:t>
            </w:r>
            <w:r>
              <w:rPr>
                <w:rFonts w:hint="eastAsia"/>
                <w:sz w:val="21"/>
                <w:szCs w:val="21"/>
              </w:rPr>
              <w:t>可追溯性、应急准备和相应、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控制措施和控制措施组合的确认、危害控制计划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分析和评估</w:t>
            </w:r>
          </w:p>
        </w:tc>
        <w:tc>
          <w:tcPr>
            <w:tcW w:w="17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:30-12:30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餐饮部及现场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</w:t>
            </w:r>
            <w:r>
              <w:rPr>
                <w:sz w:val="21"/>
                <w:szCs w:val="21"/>
              </w:rPr>
              <w:t>前提方案（原材料采购</w:t>
            </w:r>
            <w:r>
              <w:rPr>
                <w:rFonts w:hint="eastAsia"/>
                <w:sz w:val="21"/>
                <w:szCs w:val="21"/>
              </w:rPr>
              <w:t>及验收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特种设备管理</w:t>
            </w:r>
            <w:r>
              <w:rPr>
                <w:rFonts w:hint="eastAsia"/>
                <w:sz w:val="21"/>
                <w:szCs w:val="21"/>
              </w:rPr>
              <w:t>（适用时）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监视和测量设备管理；</w:t>
            </w:r>
            <w:r>
              <w:rPr>
                <w:sz w:val="21"/>
                <w:szCs w:val="21"/>
              </w:rPr>
              <w:t>工作环境控制、(PRPs)前提方案</w:t>
            </w:r>
            <w:r>
              <w:rPr>
                <w:rFonts w:hint="eastAsia"/>
                <w:sz w:val="21"/>
                <w:szCs w:val="21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</w:rPr>
              <w:t>及实施情况</w:t>
            </w:r>
            <w:r>
              <w:rPr>
                <w:sz w:val="21"/>
                <w:szCs w:val="21"/>
              </w:rPr>
              <w:t>、可追溯性系统、潜在不符合品控制、纠偏及现场情况、</w:t>
            </w:r>
            <w:r>
              <w:rPr>
                <w:rFonts w:hint="eastAsia"/>
                <w:sz w:val="21"/>
                <w:szCs w:val="21"/>
              </w:rPr>
              <w:t>可追溯性系统、应急准备和响应、潜在不符合品控制、验证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78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F:5.3/6.2/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7.1.3/7.1.6/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7.1.4/8.2/8.3/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8.4/8.5.4.5/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8.7/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8.8.1/8.9.1-8.9.4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12:30-13:00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13:00-14：00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</w:t>
            </w:r>
          </w:p>
        </w:tc>
        <w:tc>
          <w:tcPr>
            <w:tcW w:w="412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职责、目标管理、内外部沟通</w:t>
            </w:r>
            <w:r>
              <w:rPr>
                <w:rFonts w:hint="eastAsia"/>
                <w:sz w:val="21"/>
                <w:szCs w:val="21"/>
              </w:rPr>
              <w:t>、撤回/召回</w:t>
            </w:r>
          </w:p>
        </w:tc>
        <w:tc>
          <w:tcPr>
            <w:tcW w:w="17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4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：5.3/6.2/7.4/8.9.5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餐饮部及现场</w:t>
            </w: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kern w:val="1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</w:t>
            </w:r>
            <w:r>
              <w:rPr>
                <w:sz w:val="21"/>
                <w:szCs w:val="21"/>
              </w:rPr>
              <w:t>前提方案（原材料采购</w:t>
            </w:r>
            <w:r>
              <w:rPr>
                <w:rFonts w:hint="eastAsia"/>
                <w:sz w:val="21"/>
                <w:szCs w:val="21"/>
              </w:rPr>
              <w:t>及验收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特种设备管理</w:t>
            </w:r>
            <w:r>
              <w:rPr>
                <w:rFonts w:hint="eastAsia"/>
                <w:sz w:val="21"/>
                <w:szCs w:val="21"/>
              </w:rPr>
              <w:t>（适用时）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监视和测量设备管理；</w:t>
            </w:r>
            <w:r>
              <w:rPr>
                <w:sz w:val="21"/>
                <w:szCs w:val="21"/>
              </w:rPr>
              <w:t>工作环境控制、(PRPs)前提方案</w:t>
            </w:r>
            <w:r>
              <w:rPr>
                <w:rFonts w:hint="eastAsia"/>
                <w:sz w:val="21"/>
                <w:szCs w:val="21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</w:rPr>
              <w:t>及实施情况</w:t>
            </w:r>
            <w:r>
              <w:rPr>
                <w:sz w:val="21"/>
                <w:szCs w:val="21"/>
              </w:rPr>
              <w:t>、可追溯性系统、潜在不符合品控制、纠偏及现场情况、</w:t>
            </w:r>
            <w:r>
              <w:rPr>
                <w:rFonts w:hint="eastAsia"/>
                <w:sz w:val="21"/>
                <w:szCs w:val="21"/>
              </w:rPr>
              <w:t>可追溯性系统、应急准备和响应、潜在不符合品控制、验证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/>
                <w:sz w:val="21"/>
                <w:szCs w:val="21"/>
              </w:rPr>
              <w:t>等——继续审核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kern w:val="1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F:5.3/6.2/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7.1.3/7.1.6/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7.1.4/8.2/8.3/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8.4/8.5.4.5/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8.7/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8.8.1/8.9.1-8.9.4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</w:t>
            </w:r>
            <w:r>
              <w:rPr>
                <w:sz w:val="21"/>
                <w:szCs w:val="21"/>
              </w:rPr>
              <w:t>会议</w:t>
            </w:r>
          </w:p>
        </w:tc>
        <w:tc>
          <w:tcPr>
            <w:tcW w:w="1785" w:type="dxa"/>
            <w:shd w:val="clear" w:color="auto" w:fill="auto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12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85" w:type="dxa"/>
            <w:shd w:val="clear" w:color="auto" w:fill="auto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gQmitcAAAAK&#10;AQAADwAAAAAAAAABACAAAAAiAAAAZHJzL2Rvd25yZXYueG1sUEsBAhQAFAAAAAgAh07iQB1b87A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C5"/>
    <w:rsid w:val="00046D0B"/>
    <w:rsid w:val="000E2C5D"/>
    <w:rsid w:val="000E417C"/>
    <w:rsid w:val="00121AC5"/>
    <w:rsid w:val="0013749B"/>
    <w:rsid w:val="00192CE5"/>
    <w:rsid w:val="00281E6F"/>
    <w:rsid w:val="0034571C"/>
    <w:rsid w:val="00347D0A"/>
    <w:rsid w:val="00446319"/>
    <w:rsid w:val="00471828"/>
    <w:rsid w:val="00585D60"/>
    <w:rsid w:val="00605897"/>
    <w:rsid w:val="00690D6E"/>
    <w:rsid w:val="0073000A"/>
    <w:rsid w:val="00755751"/>
    <w:rsid w:val="00770520"/>
    <w:rsid w:val="00892575"/>
    <w:rsid w:val="008F2046"/>
    <w:rsid w:val="00946A0D"/>
    <w:rsid w:val="009F2822"/>
    <w:rsid w:val="00A01C6C"/>
    <w:rsid w:val="00A945F5"/>
    <w:rsid w:val="00AC79F6"/>
    <w:rsid w:val="00B01262"/>
    <w:rsid w:val="00B31795"/>
    <w:rsid w:val="00BE7DFF"/>
    <w:rsid w:val="00C2478D"/>
    <w:rsid w:val="00EB0E50"/>
    <w:rsid w:val="00F16CD0"/>
    <w:rsid w:val="00F74027"/>
    <w:rsid w:val="16B575B2"/>
    <w:rsid w:val="41472843"/>
    <w:rsid w:val="491552EB"/>
    <w:rsid w:val="779E3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429</Words>
  <Characters>2448</Characters>
  <Lines>20</Lines>
  <Paragraphs>5</Paragraphs>
  <TotalTime>0</TotalTime>
  <ScaleCrop>false</ScaleCrop>
  <LinksUpToDate>false</LinksUpToDate>
  <CharactersWithSpaces>2872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2021-12-04T03:50:00Z</dcterms:created>
  <dc:creator>微软用户</dc:creator>
  <cp:lastModifiedBy>肖新龙</cp:lastModifiedBy>
  <dcterms:modified xsi:type="dcterms:W3CDTF">2021-12-04T15:02:13Z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399536B535754C1797D93E83983FCEFC</vt:lpwstr>
  </property>
  <property fmtid="{D5CDD505-2E9C-101B-9397-08002B2CF9AE}" pid="3" name="KSOProductBuildVer">
    <vt:lpwstr>2052-11.1.0.11115</vt:lpwstr>
  </property>
</Properties>
</file>