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1230-2021-SA</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江西星特消防设备有限公司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褚敏杰</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91360982MA361H7Q7M</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20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江西星特消防设备有限公司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消防设备的生产及消防器材、钢艺制品架（密集架、书架、货架）、钢制办公家具的销售所涉及的售后服务（销售的技术支持、配送安装、维修服务、退换货、投诉处理）。</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江西省宜春市樟树市金属产业创业园区经开西五路</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江西省樟树市四特大道268号蓝波湾</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江西星特消防设备有限公司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江西省宜春市樟树市金属产业创业园区经开西五路（生产地址）；江西省樟树市四特大道268号蓝波湾（办公地址）</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