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0193-2019-2021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陕西建科方圆汽车零部件有限公司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电液伺服万能试验机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30808010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4605W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标准测力仪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西安航天计量测试研究所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2021.05.17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数显维氏硬度计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502021</w:t>
            </w:r>
          </w:p>
        </w:tc>
        <w:tc>
          <w:tcPr>
            <w:tcW w:w="1032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VH-500AC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±11%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标准维式硬度块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西安航天计量测试研究所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2021.05.17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电动洛氏硬度计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04012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HRD-150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±1.5HRC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标准洛氏硬度块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2021.05.17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金相显微镜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3848000128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ZEISSS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长度U=5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放大倍数U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=1.2%，k=2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玻璃线纹尺，二等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2021.05.18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2011174400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(25-50)㎜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±0.002㎜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3等量块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深圳华量校准检测服务有限公司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2021.01.19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数显外径千分尺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200910711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(50-75)㎜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±0.003㎜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2021.01.19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生产管理部 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1007050564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2021.01.19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生产管理部 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1111053556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(0-150)㎜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±0.02㎜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2021.01.19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质量管理部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直读光谱仪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12008491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MAX</w:t>
            </w:r>
            <w:r>
              <w:rPr>
                <w:rFonts w:hint="eastAsia"/>
                <w:sz w:val="18"/>
                <w:szCs w:val="18"/>
                <w:vertAlign w:val="subscript"/>
                <w:lang w:val="en-US" w:eastAsia="zh-CN"/>
              </w:rPr>
              <w:t>X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LMF16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U=0.001%，k=2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铸铝101A合金光谱分析标准物质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2021.5.18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质量管理部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负责溯源。公司测量设备除自检外全部委托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西安航天计量测试研究所、江苏世通仪器检测服务有限公司、深圳华量校准检测服务有限公司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质量管理部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3898900</wp:posOffset>
                  </wp:positionH>
                  <wp:positionV relativeFrom="paragraph">
                    <wp:posOffset>274955</wp:posOffset>
                  </wp:positionV>
                  <wp:extent cx="603250" cy="411480"/>
                  <wp:effectExtent l="0" t="0" r="6350" b="762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942975</wp:posOffset>
                  </wp:positionH>
                  <wp:positionV relativeFrom="paragraph">
                    <wp:posOffset>40640</wp:posOffset>
                  </wp:positionV>
                  <wp:extent cx="432435" cy="310515"/>
                  <wp:effectExtent l="0" t="0" r="12065" b="698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167" b="19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D12A76"/>
    <w:rsid w:val="701D01AA"/>
    <w:rsid w:val="766D27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6</TotalTime>
  <ScaleCrop>false</ScaleCrop>
  <LinksUpToDate>false</LinksUpToDate>
  <CharactersWithSpaces>516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2021-12-04T01:29:34Z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63F169819F3143269DAD7B7F7BE5F26A</vt:lpwstr>
  </property>
</Properties>
</file>