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ascii="宋体" w:hAnsi="宋体"/>
                <w:b/>
                <w:kern w:val="0"/>
                <w:sz w:val="24"/>
                <w:lang w:val="en-US"/>
              </w:rPr>
              <w:drawing>
                <wp:anchor distT="0" distB="0" distL="114300" distR="114300" simplePos="0" relativeHeight="251660288" behindDoc="0" locked="0" layoutInCell="1" allowOverlap="1">
                  <wp:simplePos x="0" y="0"/>
                  <wp:positionH relativeFrom="column">
                    <wp:posOffset>1247140</wp:posOffset>
                  </wp:positionH>
                  <wp:positionV relativeFrom="paragraph">
                    <wp:posOffset>281940</wp:posOffset>
                  </wp:positionV>
                  <wp:extent cx="821690" cy="495300"/>
                  <wp:effectExtent l="0" t="0" r="16510" b="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21690" cy="4953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4754880</wp:posOffset>
              </wp:positionH>
              <wp:positionV relativeFrom="paragraph">
                <wp:posOffset>9525</wp:posOffset>
              </wp:positionV>
              <wp:extent cx="1110615" cy="323215"/>
              <wp:effectExtent l="0" t="0" r="13335" b="635"/>
              <wp:wrapNone/>
              <wp:docPr id="3" name="文本框 1"/>
              <wp:cNvGraphicFramePr/>
              <a:graphic xmlns:a="http://schemas.openxmlformats.org/drawingml/2006/main">
                <a:graphicData uri="http://schemas.microsoft.com/office/word/2010/wordprocessingShape">
                  <wps:wsp>
                    <wps:cNvSpPr txBox="1"/>
                    <wps:spPr>
                      <a:xfrm>
                        <a:off x="0" y="0"/>
                        <a:ext cx="1110615" cy="323215"/>
                      </a:xfrm>
                      <a:prstGeom prst="rect">
                        <a:avLst/>
                      </a:prstGeom>
                      <a:solidFill>
                        <a:srgbClr val="FFFFFF"/>
                      </a:solidFill>
                      <a:ln>
                        <a:noFill/>
                      </a:ln>
                    </wps:spPr>
                    <wps:txbx>
                      <w:txbxContent>
                        <w:p>
                          <w:pPr>
                            <w:rPr>
                              <w:sz w:val="18"/>
                              <w:szCs w:val="18"/>
                            </w:rPr>
                          </w:pPr>
                          <w:r>
                            <w:rPr>
                              <w:rFonts w:hint="eastAsia"/>
                              <w:sz w:val="18"/>
                              <w:szCs w:val="18"/>
                            </w:rPr>
                            <w:t>ISC-B-II-06(05版）</w:t>
                          </w:r>
                        </w:p>
                      </w:txbxContent>
                    </wps:txbx>
                    <wps:bodyPr upright="1"/>
                  </wps:wsp>
                </a:graphicData>
              </a:graphic>
            </wp:anchor>
          </w:drawing>
        </mc:Choice>
        <mc:Fallback>
          <w:pict>
            <v:shape id="文本框 1" o:spid="_x0000_s1026" o:spt="202" type="#_x0000_t202" style="position:absolute;left:0pt;margin-left:374.4pt;margin-top:0.75pt;height:25.45pt;width:87.45pt;z-index:251659264;mso-width-relative:page;mso-height-relative:page;" fillcolor="#FFFFFF" filled="t" stroked="f" coordsize="21600,21600" o:gfxdata="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8AcpzWAAAACAEAAA8AAAAAAAAAAQAgAAAAIgAAAGRycy9kb3ducmV2LnhtbFBL&#10;AQIUABQAAAAIAIdO4kDyrmP9vwEAAHcDAAAOAAAAAAAAAAEAIAAAACUBAABkcnMvZTJvRG9jLnht&#10;bFBLBQYAAAAABgAGAFkBAABWBQAAAAA=&#10;">
              <v:fill on="t" focussize="0,0"/>
              <v:stroke on="f"/>
              <v:imagedata o:title=""/>
              <o:lock v:ext="edit" aspectratio="f"/>
              <v:textbox>
                <w:txbxContent>
                  <w:p>
                    <w:pPr>
                      <w:rPr>
                        <w:sz w:val="18"/>
                        <w:szCs w:val="18"/>
                      </w:rPr>
                    </w:pPr>
                    <w:r>
                      <w:rPr>
                        <w:rFonts w:hint="eastAsia"/>
                        <w:sz w:val="18"/>
                        <w:szCs w:val="18"/>
                      </w:rPr>
                      <w:t>ISC-B-II-06(05版）</w:t>
                    </w:r>
                  </w:p>
                </w:txbxContent>
              </v:textbox>
            </v:shape>
          </w:pict>
        </mc:Fallback>
      </mc:AlternateConten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8456F"/>
    <w:rsid w:val="34F767AB"/>
    <w:rsid w:val="7DCA2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2022-01-05T02:03:06Z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6F5665EF192A4B14805898076287FFE7</vt:lpwstr>
  </property>
  <property fmtid="{D5CDD505-2E9C-101B-9397-08002B2CF9AE}" pid="3" name="KSOProductBuildVer">
    <vt:lpwstr>2052-11.1.0.11194</vt:lpwstr>
  </property>
</Properties>
</file>