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0"/>
          <w:szCs w:val="30"/>
          <w:u w:val="single"/>
        </w:rPr>
        <w:t>南京金陵金箔集团股份有限公司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0229-2019-2021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b w:val="0"/>
          <w:bCs w:val="0"/>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0229-2019-2021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南京金陵金箔集团股份有限公司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史静霞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ISC-2019-0591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2024-12-18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2021年12月13日 上午</w:t>
            </w:r>
            <w:bookmarkEnd w:id="9"/>
            <w:r>
              <w:rPr>
                <w:rFonts w:hint="eastAsia" w:cs="宋体" w:asciiTheme="minorEastAsia" w:hAnsiTheme="minorEastAsia"/>
                <w:kern w:val="0"/>
                <w:szCs w:val="21"/>
                <w:lang w:val="en-US" w:eastAsia="zh-CN"/>
              </w:rPr>
              <w:t>至2021年12月14日下午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shd w:val="clear" w:color="auto" w:fill="auto"/>
                <w:lang w:val="en-US" w:eastAsia="zh-CN"/>
              </w:rPr>
            </w:pPr>
            <w:r>
              <w:rPr>
                <w:rFonts w:hint="eastAsia" w:ascii="宋体" w:hAnsi="宋体"/>
                <w:color w:val="000000"/>
                <w:szCs w:val="21"/>
                <w:shd w:val="clear" w:color="auto" w:fill="auto"/>
                <w:lang w:val="en-US" w:eastAsia="zh-CN"/>
              </w:rPr>
              <w:t>黄金荣</w:t>
            </w:r>
          </w:p>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shd w:val="clear" w:color="auto" w:fill="auto"/>
                <w:lang w:eastAsia="zh-CN"/>
              </w:rPr>
            </w:pPr>
            <w:r>
              <w:rPr>
                <w:rFonts w:ascii="宋体" w:hAnsi="宋体"/>
                <w:color w:val="000000"/>
                <w:szCs w:val="21"/>
                <w:shd w:val="clear" w:color="auto" w:fill="auto"/>
              </w:rPr>
              <w:t>2021-M1MMS-2227641</w:t>
            </w:r>
          </w:p>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shd w:val="clear" w:color="auto" w:fill="auto"/>
                <w:lang w:eastAsia="zh-CN"/>
              </w:rPr>
            </w:pPr>
            <w:r>
              <w:rPr>
                <w:rFonts w:hint="eastAsia" w:ascii="宋体" w:hAnsi="宋体"/>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ascii="宋体" w:hAnsi="宋体"/>
                <w:color w:val="auto"/>
                <w:szCs w:val="21"/>
                <w:lang w:val="en-US" w:eastAsia="zh-CN"/>
              </w:rPr>
            </w:pPr>
            <w:r>
              <w:rPr>
                <w:rFonts w:hint="eastAsia" w:ascii="宋体" w:hAnsi="宋体"/>
                <w:color w:val="auto"/>
                <w:szCs w:val="21"/>
                <w:lang w:val="en-US" w:eastAsia="zh-CN"/>
              </w:rPr>
              <w:t>技术研究院（检测中心）、生产中心（质量</w:t>
            </w:r>
            <w:bookmarkStart w:id="11" w:name="_GoBack"/>
            <w:bookmarkEnd w:id="11"/>
            <w:r>
              <w:rPr>
                <w:rFonts w:hint="eastAsia" w:ascii="宋体" w:hAnsi="宋体"/>
                <w:color w:val="auto"/>
                <w:szCs w:val="21"/>
                <w:lang w:val="en-US" w:eastAsia="zh-CN"/>
              </w:rPr>
              <w:t>体系管理部）、智能装备工程研究院、销售中心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 xml:space="preserve">1.1 </w:t>
      </w:r>
      <w:r>
        <w:rPr>
          <w:rFonts w:hint="eastAsia" w:asciiTheme="majorEastAsia" w:hAnsiTheme="majorEastAsia" w:eastAsiaTheme="majorEastAsia" w:cstheme="majorEastAsia"/>
          <w:bCs/>
          <w:color w:val="auto"/>
          <w:kern w:val="0"/>
          <w:sz w:val="24"/>
          <w:szCs w:val="24"/>
          <w:highlight w:val="none"/>
        </w:rPr>
        <w:t>公司测量管理体系</w:t>
      </w:r>
      <w:r>
        <w:rPr>
          <w:rFonts w:hint="eastAsia" w:asciiTheme="majorEastAsia" w:hAnsiTheme="majorEastAsia" w:eastAsiaTheme="majorEastAsia" w:cstheme="majorEastAsia"/>
          <w:bCs/>
          <w:color w:val="auto"/>
          <w:kern w:val="0"/>
          <w:sz w:val="24"/>
          <w:szCs w:val="24"/>
          <w:highlight w:val="none"/>
          <w:lang w:val="en-US" w:eastAsia="zh-CN"/>
        </w:rPr>
        <w:t>通过</w:t>
      </w:r>
      <w:r>
        <w:rPr>
          <w:rFonts w:hint="eastAsia" w:asciiTheme="majorEastAsia" w:hAnsiTheme="majorEastAsia" w:eastAsiaTheme="majorEastAsia" w:cstheme="majorEastAsia"/>
          <w:bCs/>
          <w:color w:val="auto"/>
          <w:kern w:val="0"/>
          <w:sz w:val="24"/>
          <w:szCs w:val="24"/>
          <w:highlight w:val="none"/>
        </w:rPr>
        <w:t>认证后，</w:t>
      </w:r>
      <w:r>
        <w:rPr>
          <w:rFonts w:hint="eastAsia" w:ascii="宋体" w:hAnsi="宋体" w:eastAsia="宋体" w:cs="宋体"/>
          <w:bCs/>
          <w:color w:val="auto"/>
          <w:kern w:val="0"/>
          <w:sz w:val="24"/>
          <w:szCs w:val="24"/>
          <w:highlight w:val="none"/>
          <w:lang w:val="en-US" w:eastAsia="zh-CN"/>
        </w:rPr>
        <w:t>一年来企业</w:t>
      </w:r>
      <w:r>
        <w:rPr>
          <w:rFonts w:hint="eastAsia" w:ascii="宋体" w:hAnsi="宋体" w:eastAsia="宋体" w:cs="宋体"/>
          <w:bCs/>
          <w:color w:val="auto"/>
          <w:kern w:val="0"/>
          <w:sz w:val="24"/>
          <w:szCs w:val="24"/>
          <w:highlight w:val="none"/>
        </w:rPr>
        <w:t>重点</w:t>
      </w:r>
      <w:r>
        <w:rPr>
          <w:rFonts w:hint="eastAsia" w:ascii="宋体" w:hAnsi="宋体" w:eastAsia="宋体" w:cs="宋体"/>
          <w:bCs/>
          <w:color w:val="auto"/>
          <w:kern w:val="0"/>
          <w:sz w:val="24"/>
          <w:szCs w:val="24"/>
          <w:highlight w:val="none"/>
          <w:lang w:val="en-US" w:eastAsia="zh-CN"/>
        </w:rPr>
        <w:t>关注</w:t>
      </w:r>
      <w:r>
        <w:rPr>
          <w:rFonts w:hint="eastAsia" w:ascii="宋体" w:hAnsi="宋体" w:eastAsia="宋体" w:cs="宋体"/>
          <w:bCs/>
          <w:color w:val="auto"/>
          <w:kern w:val="0"/>
          <w:sz w:val="24"/>
          <w:szCs w:val="24"/>
          <w:highlight w:val="none"/>
        </w:rPr>
        <w:t>原材料检验、产品出厂检验等测量过程及测量设备量值溯源。</w:t>
      </w:r>
      <w:r>
        <w:rPr>
          <w:rFonts w:hint="eastAsia" w:ascii="宋体" w:hAnsi="宋体" w:eastAsia="宋体" w:cs="宋体"/>
          <w:bCs/>
          <w:color w:val="auto"/>
          <w:kern w:val="0"/>
          <w:sz w:val="24"/>
          <w:szCs w:val="24"/>
          <w:highlight w:val="none"/>
          <w:lang w:val="en-US" w:eastAsia="zh-CN"/>
        </w:rPr>
        <w:t>企业</w:t>
      </w:r>
      <w:r>
        <w:rPr>
          <w:rFonts w:hint="eastAsia" w:ascii="宋体" w:hAnsi="宋体" w:eastAsia="宋体" w:cs="宋体"/>
          <w:bCs/>
          <w:color w:val="auto"/>
          <w:kern w:val="0"/>
          <w:sz w:val="24"/>
          <w:szCs w:val="24"/>
          <w:highlight w:val="none"/>
        </w:rPr>
        <w:t>测量设备</w:t>
      </w:r>
      <w:r>
        <w:rPr>
          <w:rFonts w:hint="eastAsia" w:ascii="宋体" w:hAnsi="宋体" w:eastAsia="宋体" w:cs="宋体"/>
          <w:bCs/>
          <w:color w:val="auto"/>
          <w:kern w:val="0"/>
          <w:sz w:val="24"/>
          <w:szCs w:val="24"/>
          <w:highlight w:val="none"/>
          <w:lang w:val="en-US" w:eastAsia="zh-CN"/>
        </w:rPr>
        <w:t>按照检定/校准计划</w:t>
      </w:r>
      <w:r>
        <w:rPr>
          <w:rFonts w:hint="eastAsia" w:ascii="宋体" w:hAnsi="宋体" w:eastAsia="宋体" w:cs="宋体"/>
          <w:bCs/>
          <w:color w:val="auto"/>
          <w:kern w:val="0"/>
          <w:sz w:val="24"/>
          <w:szCs w:val="24"/>
          <w:highlight w:val="none"/>
        </w:rPr>
        <w:t>送到有资质的检定/校准机构检定/校准。</w:t>
      </w:r>
      <w:r>
        <w:rPr>
          <w:rFonts w:hint="eastAsia" w:ascii="宋体" w:hAnsi="宋体" w:eastAsia="宋体" w:cs="宋体"/>
          <w:bCs/>
          <w:color w:val="auto"/>
          <w:kern w:val="0"/>
          <w:sz w:val="24"/>
          <w:szCs w:val="24"/>
          <w:highlight w:val="none"/>
          <w:lang w:val="en-US" w:eastAsia="zh-CN"/>
        </w:rPr>
        <w:t>对校准后的测量设备进行验证。对关键测量过程进行</w:t>
      </w:r>
      <w:r>
        <w:rPr>
          <w:rFonts w:hint="eastAsia" w:ascii="宋体" w:hAnsi="宋体" w:eastAsia="宋体" w:cs="宋体"/>
          <w:bCs/>
          <w:color w:val="auto"/>
          <w:kern w:val="0"/>
          <w:sz w:val="24"/>
          <w:szCs w:val="24"/>
          <w:highlight w:val="none"/>
        </w:rPr>
        <w:t>不确定度评定、有效性确认</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对关键测量过程应用统计技术按照规定的监视周期进行</w:t>
      </w:r>
      <w:r>
        <w:rPr>
          <w:rFonts w:hint="eastAsia" w:ascii="宋体" w:hAnsi="宋体" w:eastAsia="宋体" w:cs="宋体"/>
          <w:bCs/>
          <w:color w:val="auto"/>
          <w:kern w:val="0"/>
          <w:sz w:val="24"/>
          <w:szCs w:val="24"/>
          <w:highlight w:val="none"/>
        </w:rPr>
        <w:t>监视与统计</w:t>
      </w:r>
      <w:r>
        <w:rPr>
          <w:rFonts w:hint="eastAsia" w:ascii="宋体" w:hAnsi="宋体" w:eastAsia="宋体" w:cs="宋体"/>
          <w:bCs/>
          <w:color w:val="auto"/>
          <w:kern w:val="0"/>
          <w:sz w:val="24"/>
          <w:szCs w:val="24"/>
          <w:highlight w:val="none"/>
          <w:lang w:eastAsia="zh-CN"/>
        </w:rPr>
        <w:t>。</w:t>
      </w:r>
    </w:p>
    <w:p>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公司领导层重视测量管理体系各项工作，配备完善了相关资源和设备</w:t>
      </w:r>
      <w:r>
        <w:rPr>
          <w:rFonts w:hint="eastAsia" w:ascii="宋体" w:hAnsi="宋体" w:eastAsia="宋体" w:cs="宋体"/>
          <w:bCs/>
          <w:color w:val="auto"/>
          <w:kern w:val="0"/>
          <w:sz w:val="24"/>
          <w:szCs w:val="24"/>
          <w:highlight w:val="none"/>
          <w:lang w:val="en-US" w:eastAsia="zh-CN"/>
        </w:rPr>
        <w:t>。购置了紫外分光光度计一台。企业根据测量体系质量方针，</w:t>
      </w:r>
      <w:r>
        <w:rPr>
          <w:rFonts w:hint="eastAsia" w:ascii="宋体" w:hAnsi="宋体" w:eastAsia="宋体" w:cs="宋体"/>
          <w:bCs/>
          <w:color w:val="auto"/>
          <w:kern w:val="0"/>
          <w:sz w:val="24"/>
          <w:szCs w:val="24"/>
          <w:highlight w:val="none"/>
        </w:rPr>
        <w:t>公司制定了</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项质量目标，质量目标有具体考核指标可测量，</w:t>
      </w:r>
      <w:r>
        <w:rPr>
          <w:rFonts w:hint="eastAsia" w:ascii="宋体" w:hAnsi="宋体" w:eastAsia="宋体" w:cs="宋体"/>
          <w:bCs/>
          <w:color w:val="auto"/>
          <w:kern w:val="0"/>
          <w:sz w:val="24"/>
          <w:szCs w:val="24"/>
          <w:highlight w:val="none"/>
          <w:lang w:val="en-US" w:eastAsia="zh-CN"/>
        </w:rPr>
        <w:t>制定了《测量管理体系2021年度管理目标及管理方案》每季度统计质量目标完成情况，经统计2021年1月至9月</w:t>
      </w:r>
      <w:r>
        <w:rPr>
          <w:rFonts w:hint="eastAsia" w:ascii="宋体" w:hAnsi="宋体" w:eastAsia="宋体" w:cs="宋体"/>
          <w:bCs/>
          <w:color w:val="auto"/>
          <w:kern w:val="0"/>
          <w:sz w:val="24"/>
          <w:szCs w:val="24"/>
          <w:highlight w:val="none"/>
        </w:rPr>
        <w:t>质量目标</w:t>
      </w:r>
      <w:r>
        <w:rPr>
          <w:rFonts w:hint="eastAsia" w:ascii="宋体" w:hAnsi="宋体" w:eastAsia="宋体" w:cs="宋体"/>
          <w:bCs/>
          <w:color w:val="auto"/>
          <w:kern w:val="0"/>
          <w:sz w:val="24"/>
          <w:szCs w:val="24"/>
          <w:highlight w:val="none"/>
          <w:lang w:val="en-US" w:eastAsia="zh-CN"/>
        </w:rPr>
        <w:t>全部</w:t>
      </w:r>
      <w:r>
        <w:rPr>
          <w:rFonts w:hint="eastAsia" w:ascii="宋体" w:hAnsi="宋体" w:eastAsia="宋体" w:cs="宋体"/>
          <w:bCs/>
          <w:color w:val="auto"/>
          <w:kern w:val="0"/>
          <w:sz w:val="24"/>
          <w:szCs w:val="24"/>
          <w:highlight w:val="none"/>
        </w:rPr>
        <w:t>完成</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测量管理体系的符合性、有效性及持续改进，符合GB/T 19022-2003标准要求，公司测量管理体系正常有序运行，较好地满足了公司可持续发展的需要。企业效益逐年提高。</w:t>
      </w:r>
    </w:p>
    <w:p>
      <w:pPr>
        <w:spacing w:line="360" w:lineRule="auto"/>
        <w:rPr>
          <w:rFonts w:hint="eastAsia" w:ascii="宋体" w:hAnsi="宋体" w:eastAsia="宋体" w:cs="宋体"/>
          <w:bCs/>
          <w:color w:val="auto"/>
          <w:kern w:val="0"/>
          <w:sz w:val="24"/>
          <w:szCs w:val="24"/>
          <w:highlight w:val="none"/>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2.1公司于2021年11月22日组织了公司测量管理体系内审，内审分3个组，对公司管理层、5个部门进行了审核，共发现2个不符合，责任单位进行了原因分析，及时组织进行了整改。到目前为止不符合项已全部完成整改。</w:t>
      </w:r>
    </w:p>
    <w:p>
      <w:pPr>
        <w:spacing w:line="36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2.2企业于2021年11月27日开展了单体系管理评审，会议由公司总经理甘敏主持，由管理者代表、汇报了体系运行情况。其他部门汇报了本部门分管的测量体系相关工作。会议肯定了公司测量管理体系的充分性、有效性和适宜性。形成了管理评审报告。</w:t>
      </w:r>
    </w:p>
    <w:p>
      <w:pPr>
        <w:spacing w:line="360" w:lineRule="auto"/>
        <w:rPr>
          <w:rFonts w:hint="eastAsia" w:ascii="宋体" w:hAnsi="宋体" w:eastAsia="宋体" w:cs="宋体"/>
          <w:bCs/>
          <w:color w:val="auto"/>
          <w:kern w:val="0"/>
          <w:sz w:val="24"/>
          <w:szCs w:val="24"/>
          <w:highlight w:val="none"/>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3.为持续改进而策划的活动的进展，企业对识别的关键测量过程进行了持续的控制，企业烟用接装纸原纸厚度测量过程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a)计量要求的导出和验证：查：烟用接装纸原纸厚度测量过程，计量要求导出方法正确，验证满足测量过程要求。祥见附件《计量要求导出及验证记录表》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b)测量不确定评定：查：烟用接装纸原纸厚度测量过程，测量不确定度评定方法正确。祥见附件《测量不确定度评定》</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c)有效性确认：查：烟用接装纸原纸厚度测量过程有效性确认，满足要求。祥见附件《测量过程有效性确认》</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d)测量过程的控制：查:烟用接装纸原纸厚度测量过程，编制了控制规范，对测量人员、测量设备、测量环境进行控制，满足要求。</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e)测量过程的监视：查:烟用接装纸原纸厚度测量过程，采用统计技术进行控制和监视测量过程。祥见《测量过程监视记录》</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f)测量设备的溯源：公司未建最高计量标准，企业测量设备由技术研究院（检测中心）负责组织委外检定/校准。公司测量设备委托南京市计量监督检测院、广东中准检测有限公司等机构检定/校准，抽查7台测量设备检定/校准证书，溯源满足要求。祥见《测量设备溯源检查表》</w:t>
      </w:r>
    </w:p>
    <w:p>
      <w:pPr>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4.能源管理情况：企业主要消耗能源电能。2021年1月-2021年11月消耗电量23100610千瓦时。折2389t标煤。企业不是重点能耗单位。</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监督审核未发现</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5项质量目标，质量目标有具体考核指标可测量，制定了《测量管理体系2021年度管理目标及管理方案》每季度统计质量目标完成情况，经统计2021年1月至9月质量目标全部完成。企业测量体系进一步满足顾客、质量、服务等方面的要求，符合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企业营业执照没有变更，企业组织机构没有变更。</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13</w:t>
      </w:r>
      <w:r>
        <w:rPr>
          <w:rFonts w:hint="eastAsia" w:cs="宋体" w:asciiTheme="minorEastAsia" w:hAnsiTheme="minorEastAsia"/>
          <w:bCs/>
          <w:color w:val="auto"/>
          <w:kern w:val="0"/>
          <w:sz w:val="24"/>
          <w:szCs w:val="24"/>
        </w:rPr>
        <w:t>日</w:t>
      </w:r>
      <w:r>
        <w:rPr>
          <w:rFonts w:hint="eastAsia" w:cs="宋体" w:asciiTheme="minorEastAsia" w:hAnsiTheme="minorEastAsia"/>
          <w:bCs/>
          <w:color w:val="auto"/>
          <w:kern w:val="0"/>
          <w:sz w:val="24"/>
          <w:szCs w:val="24"/>
          <w:lang w:val="en-US" w:eastAsia="zh-CN"/>
        </w:rPr>
        <w:t>上午至14日下午</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南京金陵金箔集团股份有限公司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南京金陵金箔集团股份有限公司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0000FF"/>
          <w:kern w:val="0"/>
          <w:sz w:val="24"/>
          <w:szCs w:val="24"/>
        </w:rPr>
      </w:pPr>
      <w:r>
        <w:rPr>
          <w:rFonts w:hint="eastAsia"/>
          <w:color w:val="0000FF"/>
          <w:sz w:val="24"/>
          <w:szCs w:val="24"/>
        </w:rPr>
        <w:drawing>
          <wp:anchor distT="0" distB="0" distL="114300" distR="114300" simplePos="0" relativeHeight="251676672"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2021.12.14</w:t>
      </w:r>
    </w:p>
    <w:p>
      <w:pPr>
        <w:widowControl/>
        <w:spacing w:line="360" w:lineRule="auto"/>
        <w:jc w:val="left"/>
        <w:rPr>
          <w:rFonts w:ascii="宋体" w:hAnsi="宋体" w:eastAsia="宋体" w:cs="宋体"/>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B25A9E"/>
    <w:rsid w:val="12B9289C"/>
    <w:rsid w:val="335A1CDE"/>
    <w:rsid w:val="51AF1B4D"/>
    <w:rsid w:val="57895248"/>
    <w:rsid w:val="5A7F2252"/>
    <w:rsid w:val="66B65208"/>
    <w:rsid w:val="69447F61"/>
    <w:rsid w:val="6D2674C5"/>
    <w:rsid w:val="787C61EA"/>
    <w:rsid w:val="7E614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2021-12-14T07:09:41Z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