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0654-2019-E-2021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陕西华骏机械制造有限责任公司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陕西华骏机械制造有限责任公司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陕西省咸阳市礼泉县食品工业园区科技路北侧</w:t>
            </w:r>
            <w:bookmarkEnd w:id="6"/>
          </w:p>
        </w:tc>
        <w:tc>
          <w:tcPr>
            <w:tcW w:w="1242" w:type="dxa"/>
            <w:vMerge w:val="restart"/>
            <w:vAlign w:val="center"/>
          </w:tcPr>
          <w:p>
            <w:r>
              <w:rPr>
                <w:rFonts w:hint="eastAsia"/>
              </w:rPr>
              <w:t>邮编</w:t>
            </w:r>
          </w:p>
        </w:tc>
        <w:tc>
          <w:tcPr>
            <w:tcW w:w="1771" w:type="dxa"/>
          </w:tcPr>
          <w:p>
            <w:bookmarkStart w:id="7" w:name="注册邮编"/>
            <w:r>
              <w:t>713200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陕西省咸阳市礼泉县食品工业园区科技路北侧</w:t>
            </w:r>
            <w:bookmarkEnd w:id="8"/>
          </w:p>
        </w:tc>
        <w:tc>
          <w:tcPr>
            <w:tcW w:w="1242" w:type="dxa"/>
            <w:vMerge w:val="continue"/>
            <w:vAlign w:val="center"/>
          </w:tcPr>
          <w:p/>
        </w:tc>
        <w:tc>
          <w:tcPr>
            <w:tcW w:w="1771" w:type="dxa"/>
          </w:tcPr>
          <w:p>
            <w:bookmarkStart w:id="9" w:name="办公邮编"/>
            <w:r>
              <w:t>713200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林媛</w:t>
            </w:r>
            <w:bookmarkEnd w:id="10"/>
          </w:p>
        </w:tc>
        <w:tc>
          <w:tcPr>
            <w:tcW w:w="1313" w:type="dxa"/>
            <w:vAlign w:val="center"/>
          </w:tcPr>
          <w:p>
            <w:r>
              <w:rPr>
                <w:rFonts w:hint="eastAsia"/>
              </w:rPr>
              <w:t>电话.</w:t>
            </w:r>
          </w:p>
        </w:tc>
        <w:tc>
          <w:tcPr>
            <w:tcW w:w="2180" w:type="dxa"/>
            <w:vAlign w:val="center"/>
          </w:tcPr>
          <w:p>
            <w:bookmarkStart w:id="11" w:name="联系人电话"/>
            <w:r>
              <w:t>029 3892 3281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李峰</w:t>
            </w:r>
            <w:bookmarkEnd w:id="13"/>
          </w:p>
        </w:tc>
        <w:tc>
          <w:tcPr>
            <w:tcW w:w="1313" w:type="dxa"/>
            <w:vAlign w:val="center"/>
          </w:tcPr>
          <w:p>
            <w:r>
              <w:rPr>
                <w:rFonts w:hint="eastAsia"/>
              </w:rPr>
              <w:t>管理者代表</w:t>
            </w:r>
          </w:p>
        </w:tc>
        <w:tc>
          <w:tcPr>
            <w:tcW w:w="2180" w:type="dxa"/>
          </w:tcPr>
          <w:p>
            <w:bookmarkStart w:id="14" w:name="管理者代表"/>
            <w:r>
              <w:t>林媛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顾客需求的确定</w:t>
            </w:r>
            <w:r>
              <w:rPr>
                <w:rFonts w:hint="eastAsia"/>
                <w:lang w:val="en-US" w:eastAsia="zh-CN"/>
              </w:rPr>
              <w:t xml:space="preserve"> </w:t>
            </w:r>
            <w:r>
              <w:rPr>
                <w:rFonts w:hint="eastAsia"/>
              </w:rPr>
              <w:t>—</w:t>
            </w:r>
            <w:r>
              <w:rPr>
                <w:rFonts w:hint="eastAsia"/>
                <w:lang w:val="en-US" w:eastAsia="zh-CN"/>
              </w:rPr>
              <w:t xml:space="preserve"> </w:t>
            </w:r>
            <w:r>
              <w:rPr>
                <w:rFonts w:hint="eastAsia"/>
              </w:rPr>
              <w:t>合同评审</w:t>
            </w:r>
            <w:r>
              <w:rPr>
                <w:rFonts w:hint="eastAsia"/>
                <w:lang w:val="en-US" w:eastAsia="zh-CN"/>
              </w:rPr>
              <w:t xml:space="preserve"> </w:t>
            </w:r>
            <w:r>
              <w:rPr>
                <w:rFonts w:hint="eastAsia"/>
              </w:rPr>
              <w:t>—</w:t>
            </w:r>
            <w:r>
              <w:rPr>
                <w:rFonts w:hint="eastAsia"/>
                <w:lang w:val="en-US" w:eastAsia="zh-CN"/>
              </w:rPr>
              <w:t xml:space="preserve"> </w:t>
            </w:r>
            <w:r>
              <w:rPr>
                <w:rFonts w:hint="eastAsia"/>
              </w:rPr>
              <w:t>采购</w:t>
            </w:r>
            <w:r>
              <w:rPr>
                <w:rFonts w:hint="eastAsia"/>
                <w:lang w:val="en-US" w:eastAsia="zh-CN"/>
              </w:rPr>
              <w:t xml:space="preserve"> </w:t>
            </w:r>
            <w:r>
              <w:rPr>
                <w:rFonts w:hint="eastAsia"/>
              </w:rPr>
              <w:t>—（外购铸造毛坯）</w:t>
            </w:r>
            <w:r>
              <w:rPr>
                <w:rFonts w:hint="eastAsia"/>
                <w:lang w:val="en-US" w:eastAsia="zh-CN"/>
              </w:rPr>
              <w:t xml:space="preserve"> </w:t>
            </w:r>
            <w:r>
              <w:rPr>
                <w:rFonts w:hint="eastAsia"/>
              </w:rPr>
              <w:t>—</w:t>
            </w:r>
            <w:r>
              <w:rPr>
                <w:rFonts w:hint="eastAsia"/>
                <w:lang w:val="en-US" w:eastAsia="zh-CN"/>
              </w:rPr>
              <w:t xml:space="preserve"> </w:t>
            </w:r>
            <w:r>
              <w:rPr>
                <w:rFonts w:hint="eastAsia"/>
              </w:rPr>
              <w:t>毛坯检验</w:t>
            </w:r>
            <w:r>
              <w:rPr>
                <w:rFonts w:hint="eastAsia"/>
                <w:lang w:val="en-US" w:eastAsia="zh-CN"/>
              </w:rPr>
              <w:t xml:space="preserve"> </w:t>
            </w:r>
            <w:r>
              <w:rPr>
                <w:rFonts w:hint="eastAsia"/>
              </w:rPr>
              <w:t>—</w:t>
            </w:r>
            <w:r>
              <w:rPr>
                <w:rFonts w:hint="eastAsia"/>
                <w:lang w:val="en-US" w:eastAsia="zh-CN"/>
              </w:rPr>
              <w:t xml:space="preserve"> </w:t>
            </w:r>
            <w:r>
              <w:rPr>
                <w:rFonts w:hint="eastAsia"/>
              </w:rPr>
              <w:t>机加工（车、钻、铣、磨）—</w:t>
            </w:r>
            <w:r>
              <w:rPr>
                <w:rFonts w:hint="eastAsia"/>
                <w:lang w:val="en-US" w:eastAsia="zh-CN"/>
              </w:rPr>
              <w:t xml:space="preserve"> </w:t>
            </w:r>
            <w:r>
              <w:rPr>
                <w:rFonts w:hint="eastAsia"/>
              </w:rPr>
              <w:t>成品检验</w:t>
            </w:r>
            <w:r>
              <w:rPr>
                <w:rFonts w:hint="eastAsia"/>
                <w:lang w:val="en-US" w:eastAsia="zh-CN"/>
              </w:rPr>
              <w:t xml:space="preserve"> </w:t>
            </w:r>
            <w:r>
              <w:rPr>
                <w:rFonts w:hint="eastAsia"/>
              </w:rPr>
              <w:t>—</w:t>
            </w:r>
            <w:r>
              <w:rPr>
                <w:rFonts w:hint="eastAsia"/>
                <w:lang w:val="en-US" w:eastAsia="zh-CN"/>
              </w:rPr>
              <w:t xml:space="preserve"> </w:t>
            </w:r>
            <w:r>
              <w:rPr>
                <w:rFonts w:hint="eastAsia"/>
              </w:rPr>
              <w:t xml:space="preserve">成品入库 </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4"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2021年11月25日 上午至2021年11月26日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2"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2"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汽车零部件及配件制造（五大总成除外）。</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2019年8月1日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宋体" w:hAnsi="宋体" w:eastAsia="宋体" w:cs="宋体"/>
                <w:sz w:val="21"/>
                <w:szCs w:val="21"/>
              </w:rPr>
              <w:t>20</w:t>
            </w:r>
            <w:r>
              <w:rPr>
                <w:rFonts w:hint="eastAsia" w:ascii="宋体" w:hAnsi="宋体" w:eastAsia="宋体" w:cs="宋体"/>
                <w:sz w:val="21"/>
                <w:szCs w:val="21"/>
                <w:lang w:val="en-US" w:eastAsia="zh-CN"/>
              </w:rPr>
              <w:t>20</w:t>
            </w:r>
            <w:r>
              <w:rPr>
                <w:rFonts w:hint="eastAsia"/>
              </w:rPr>
              <w:t>年</w:t>
            </w:r>
            <w:r>
              <w:rPr>
                <w:rFonts w:hint="eastAsia"/>
                <w:lang w:val="en-US" w:eastAsia="zh-CN"/>
              </w:rPr>
              <w:t>12</w:t>
            </w:r>
            <w:r>
              <w:rPr>
                <w:rFonts w:hint="eastAsia"/>
              </w:rPr>
              <w:t>月</w:t>
            </w:r>
            <w:r>
              <w:rPr>
                <w:rFonts w:hint="eastAsia"/>
                <w:lang w:val="en-US" w:eastAsia="zh-CN"/>
              </w:rPr>
              <w:t>27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w:t>
            </w:r>
            <w:r>
              <w:rPr>
                <w:rFonts w:hint="eastAsia" w:ascii="Times New Roman" w:hAnsi="Times New Roman" w:eastAsia="宋体" w:cs="Times New Roman"/>
                <w:lang w:val="en-US" w:eastAsia="zh-CN"/>
              </w:rPr>
              <w:t>至2022.10.24</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012"/>
        <w:gridCol w:w="2105"/>
        <w:gridCol w:w="571"/>
        <w:gridCol w:w="2252"/>
        <w:gridCol w:w="122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064" w:type="dxa"/>
            <w:shd w:val="clear" w:color="auto" w:fill="F3F3F3"/>
            <w:tcMar>
              <w:left w:w="57" w:type="dxa"/>
              <w:right w:w="57" w:type="dxa"/>
            </w:tcMar>
          </w:tcPr>
          <w:p>
            <w:r>
              <w:rPr>
                <w:rFonts w:hint="eastAsia"/>
              </w:rPr>
              <w:t>场所编号</w:t>
            </w:r>
          </w:p>
          <w:p>
            <w:r>
              <w:rPr>
                <w:rFonts w:hint="eastAsia"/>
              </w:rPr>
              <w:t>(分证书序号）</w:t>
            </w:r>
          </w:p>
        </w:tc>
        <w:tc>
          <w:tcPr>
            <w:tcW w:w="2012" w:type="dxa"/>
            <w:shd w:val="clear" w:color="auto" w:fill="F3F3F3"/>
            <w:tcMar>
              <w:left w:w="57" w:type="dxa"/>
              <w:right w:w="57" w:type="dxa"/>
            </w:tcMar>
          </w:tcPr>
          <w:p>
            <w:r>
              <w:rPr>
                <w:rFonts w:hint="eastAsia"/>
              </w:rPr>
              <w:t>组织名称及注册场所地址</w:t>
            </w:r>
          </w:p>
        </w:tc>
        <w:tc>
          <w:tcPr>
            <w:tcW w:w="2105"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52" w:type="dxa"/>
            <w:shd w:val="clear" w:color="auto" w:fill="F3F3F3"/>
            <w:tcMar>
              <w:left w:w="57" w:type="dxa"/>
              <w:right w:w="57" w:type="dxa"/>
            </w:tcMar>
          </w:tcPr>
          <w:p>
            <w:r>
              <w:rPr>
                <w:rFonts w:hint="eastAsia"/>
              </w:rPr>
              <w:t>审核范围（产品和过程）</w:t>
            </w:r>
          </w:p>
          <w:p/>
          <w:p/>
        </w:tc>
        <w:tc>
          <w:tcPr>
            <w:tcW w:w="122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064" w:type="dxa"/>
            <w:vAlign w:val="center"/>
          </w:tcPr>
          <w:p>
            <w:pPr>
              <w:rPr>
                <w:lang w:eastAsia="ja-JP"/>
              </w:rPr>
            </w:pPr>
            <w:r>
              <w:rPr>
                <w:rFonts w:hint="eastAsia"/>
                <w:lang w:eastAsia="ja-JP"/>
              </w:rPr>
              <w:t>01</w:t>
            </w:r>
          </w:p>
        </w:tc>
        <w:tc>
          <w:tcPr>
            <w:tcW w:w="2012" w:type="dxa"/>
          </w:tcPr>
          <w:p>
            <w:r>
              <w:t>陕西华骏机械制造有限责任公司</w:t>
            </w:r>
          </w:p>
          <w:p>
            <w:pPr>
              <w:pStyle w:val="2"/>
              <w:rPr>
                <w:lang w:val="de-DE" w:eastAsia="ja-JP"/>
              </w:rPr>
            </w:pPr>
            <w:r>
              <w:t>陕西省咸阳市礼泉县食品工业园区科技路北侧</w:t>
            </w:r>
          </w:p>
        </w:tc>
        <w:tc>
          <w:tcPr>
            <w:tcW w:w="2105" w:type="dxa"/>
          </w:tcPr>
          <w:p>
            <w:pPr>
              <w:rPr>
                <w:lang w:val="de-DE" w:eastAsia="ja-JP"/>
              </w:rPr>
            </w:pPr>
            <w:r>
              <w:t>陕西省咸阳市礼泉县食品工业园区科技路北侧</w:t>
            </w:r>
          </w:p>
        </w:tc>
        <w:tc>
          <w:tcPr>
            <w:tcW w:w="571" w:type="dxa"/>
            <w:vAlign w:val="center"/>
          </w:tcPr>
          <w:p>
            <w:pPr>
              <w:rPr>
                <w:rFonts w:hint="default" w:eastAsia="宋体"/>
                <w:lang w:val="en-US" w:eastAsia="zh-CN"/>
              </w:rPr>
            </w:pPr>
            <w:r>
              <w:rPr>
                <w:rFonts w:hint="eastAsia"/>
                <w:lang w:val="en-US" w:eastAsia="zh-CN"/>
              </w:rPr>
              <w:t>52</w:t>
            </w:r>
          </w:p>
        </w:tc>
        <w:tc>
          <w:tcPr>
            <w:tcW w:w="2252" w:type="dxa"/>
            <w:vAlign w:val="center"/>
          </w:tcPr>
          <w:p>
            <w:pPr>
              <w:rPr>
                <w:lang w:eastAsia="ja-JP"/>
              </w:rPr>
            </w:pPr>
            <w:r>
              <w:t>汽车零部件及配件制造（五大总成除外）。</w:t>
            </w:r>
          </w:p>
        </w:tc>
        <w:tc>
          <w:tcPr>
            <w:tcW w:w="1220" w:type="dxa"/>
            <w:vAlign w:val="center"/>
          </w:tcPr>
          <w:p>
            <w:pPr>
              <w:rPr>
                <w:lang w:eastAsia="ja-JP"/>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5</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4" w:type="dxa"/>
            <w:vAlign w:val="center"/>
          </w:tcPr>
          <w:p>
            <w:pPr>
              <w:rPr>
                <w:lang w:eastAsia="ja-JP"/>
              </w:rPr>
            </w:pPr>
            <w:r>
              <w:rPr>
                <w:rFonts w:hint="eastAsia"/>
                <w:lang w:eastAsia="ja-JP"/>
              </w:rPr>
              <w:t>02</w:t>
            </w:r>
          </w:p>
        </w:tc>
        <w:tc>
          <w:tcPr>
            <w:tcW w:w="2012" w:type="dxa"/>
            <w:vAlign w:val="center"/>
          </w:tcPr>
          <w:p>
            <w:pPr>
              <w:rPr>
                <w:lang w:eastAsia="ja-JP"/>
              </w:rPr>
            </w:pPr>
          </w:p>
        </w:tc>
        <w:tc>
          <w:tcPr>
            <w:tcW w:w="2105" w:type="dxa"/>
            <w:vAlign w:val="center"/>
          </w:tcPr>
          <w:p>
            <w:pPr>
              <w:rPr>
                <w:lang w:eastAsia="ja-JP"/>
              </w:rPr>
            </w:pPr>
          </w:p>
        </w:tc>
        <w:tc>
          <w:tcPr>
            <w:tcW w:w="571" w:type="dxa"/>
            <w:vAlign w:val="center"/>
          </w:tcPr>
          <w:p>
            <w:pPr>
              <w:rPr>
                <w:lang w:eastAsia="ja-JP"/>
              </w:rPr>
            </w:pPr>
          </w:p>
        </w:tc>
        <w:tc>
          <w:tcPr>
            <w:tcW w:w="2252" w:type="dxa"/>
            <w:vAlign w:val="center"/>
          </w:tcPr>
          <w:p>
            <w:pPr>
              <w:rPr>
                <w:lang w:eastAsia="ja-JP"/>
              </w:rPr>
            </w:pPr>
          </w:p>
        </w:tc>
        <w:tc>
          <w:tcPr>
            <w:tcW w:w="122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4" w:type="dxa"/>
            <w:vAlign w:val="center"/>
          </w:tcPr>
          <w:p>
            <w:pPr>
              <w:rPr>
                <w:lang w:eastAsia="ja-JP"/>
              </w:rPr>
            </w:pPr>
            <w:r>
              <w:rPr>
                <w:rFonts w:hint="eastAsia"/>
                <w:lang w:eastAsia="ja-JP"/>
              </w:rPr>
              <w:t>03</w:t>
            </w:r>
          </w:p>
        </w:tc>
        <w:tc>
          <w:tcPr>
            <w:tcW w:w="2012" w:type="dxa"/>
            <w:vAlign w:val="center"/>
          </w:tcPr>
          <w:p>
            <w:pPr>
              <w:rPr>
                <w:lang w:eastAsia="ja-JP"/>
              </w:rPr>
            </w:pPr>
          </w:p>
        </w:tc>
        <w:tc>
          <w:tcPr>
            <w:tcW w:w="2105" w:type="dxa"/>
            <w:vAlign w:val="center"/>
          </w:tcPr>
          <w:p>
            <w:pPr>
              <w:rPr>
                <w:lang w:eastAsia="ja-JP"/>
              </w:rPr>
            </w:pPr>
          </w:p>
        </w:tc>
        <w:tc>
          <w:tcPr>
            <w:tcW w:w="571" w:type="dxa"/>
            <w:vAlign w:val="center"/>
          </w:tcPr>
          <w:p>
            <w:pPr>
              <w:rPr>
                <w:lang w:eastAsia="ja-JP"/>
              </w:rPr>
            </w:pPr>
          </w:p>
        </w:tc>
        <w:tc>
          <w:tcPr>
            <w:tcW w:w="2252" w:type="dxa"/>
            <w:vAlign w:val="center"/>
          </w:tcPr>
          <w:p>
            <w:pPr>
              <w:rPr>
                <w:lang w:eastAsia="ja-JP"/>
              </w:rPr>
            </w:pPr>
          </w:p>
        </w:tc>
        <w:tc>
          <w:tcPr>
            <w:tcW w:w="1220"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lang w:eastAsia="zh-CN"/>
              </w:rPr>
              <w:t>☑</w:t>
            </w: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tc>
        <w:tc>
          <w:tcPr>
            <w:tcW w:w="2179" w:type="dxa"/>
            <w:vAlign w:val="center"/>
          </w:tcPr>
          <w:p>
            <w: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88"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288"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88"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88"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88"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88"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88"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88"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88"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88"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88"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无</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 xml:space="preserve">      </w:t>
            </w:r>
          </w:p>
        </w:tc>
        <w:tc>
          <w:tcPr>
            <w:tcW w:w="1717" w:type="dxa"/>
          </w:tcPr>
          <w:p/>
        </w:tc>
        <w:tc>
          <w:tcPr>
            <w:tcW w:w="1560" w:type="dxa"/>
          </w:tcP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396" w:tblpY="12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4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t>汽车零部件及配件制造（五大总成除外）。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7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5"/>
        <w:gridCol w:w="2581"/>
        <w:gridCol w:w="2764"/>
        <w:gridCol w:w="3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295" w:type="dxa"/>
            <w:vAlign w:val="center"/>
          </w:tcPr>
          <w:p>
            <w:pPr>
              <w:rPr>
                <w:rFonts w:hint="eastAsia" w:ascii="宋体"/>
                <w:b/>
                <w:color w:val="0000FF"/>
                <w:szCs w:val="21"/>
              </w:rPr>
            </w:pPr>
            <w:r>
              <w:rPr>
                <w:rFonts w:hint="eastAsia" w:ascii="宋体"/>
                <w:b/>
                <w:color w:val="0000FF"/>
                <w:szCs w:val="21"/>
              </w:rPr>
              <w:t>突发事件的处置措施</w:t>
            </w:r>
          </w:p>
        </w:tc>
        <w:tc>
          <w:tcPr>
            <w:tcW w:w="8683" w:type="dxa"/>
            <w:gridSpan w:val="3"/>
            <w:tcMar>
              <w:left w:w="113" w:type="dxa"/>
            </w:tcMar>
            <w:vAlign w:val="center"/>
          </w:tcPr>
          <w:p>
            <w:pPr>
              <w:rPr>
                <w:rFonts w:hint="eastAsia" w:ascii="宋体"/>
                <w:b/>
                <w:color w:val="0000FF"/>
                <w:szCs w:val="21"/>
              </w:rPr>
            </w:pPr>
            <w:r>
              <w:rPr>
                <w:rFonts w:hint="eastAsia" w:ascii="宋体"/>
                <w:b/>
                <w:color w:val="0000FF"/>
                <w:szCs w:val="21"/>
              </w:rPr>
              <w:t>□中止审核□终止审核☑延迟审核□改为现场审核</w:t>
            </w:r>
          </w:p>
          <w:p>
            <w:pPr>
              <w:rPr>
                <w:rFonts w:hint="eastAsia"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295" w:type="dxa"/>
            <w:vMerge w:val="restart"/>
            <w:vAlign w:val="center"/>
          </w:tcPr>
          <w:p>
            <w:pPr>
              <w:rPr>
                <w:rFonts w:hint="eastAsia" w:ascii="宋体"/>
                <w:b/>
                <w:color w:val="0000FF"/>
                <w:szCs w:val="21"/>
              </w:rPr>
            </w:pPr>
            <w:r>
              <w:rPr>
                <w:rFonts w:hint="eastAsia" w:ascii="宋体"/>
                <w:b/>
                <w:color w:val="0000FF"/>
                <w:szCs w:val="21"/>
              </w:rPr>
              <w:t>远程审核的有效性评价（适用时）</w:t>
            </w:r>
          </w:p>
        </w:tc>
        <w:tc>
          <w:tcPr>
            <w:tcW w:w="8683" w:type="dxa"/>
            <w:gridSpan w:val="3"/>
            <w:tcMar>
              <w:left w:w="113" w:type="dxa"/>
            </w:tcMar>
          </w:tcPr>
          <w:p>
            <w:pPr>
              <w:rPr>
                <w:rFonts w:hint="eastAsia" w:ascii="宋体"/>
                <w:b/>
                <w:color w:val="0000FF"/>
                <w:szCs w:val="21"/>
              </w:rPr>
            </w:pPr>
            <w:r>
              <w:rPr>
                <w:rFonts w:hint="eastAsia" w:ascii="宋体"/>
                <w:b/>
                <w:color w:val="0000FF"/>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295" w:type="dxa"/>
            <w:vMerge w:val="continue"/>
            <w:vAlign w:val="center"/>
          </w:tcPr>
          <w:p>
            <w:pPr>
              <w:rPr>
                <w:rFonts w:hint="eastAsia" w:ascii="宋体"/>
                <w:b/>
                <w:color w:val="0000FF"/>
                <w:szCs w:val="21"/>
              </w:rPr>
            </w:pPr>
          </w:p>
        </w:tc>
        <w:tc>
          <w:tcPr>
            <w:tcW w:w="8683" w:type="dxa"/>
            <w:gridSpan w:val="3"/>
            <w:tcMar>
              <w:left w:w="113" w:type="dxa"/>
            </w:tcMar>
          </w:tcPr>
          <w:p>
            <w:pPr>
              <w:rPr>
                <w:rFonts w:hint="eastAsia" w:ascii="宋体"/>
                <w:b/>
                <w:color w:val="0000FF"/>
                <w:szCs w:val="21"/>
              </w:rPr>
            </w:pPr>
            <w:r>
              <w:rPr>
                <w:rFonts w:hint="eastAsia" w:ascii="宋体"/>
                <w:b/>
                <w:color w:val="0000FF"/>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5" w:hRule="exact"/>
          <w:jc w:val="center"/>
        </w:trPr>
        <w:tc>
          <w:tcPr>
            <w:tcW w:w="1295" w:type="dxa"/>
            <w:vAlign w:val="center"/>
          </w:tcPr>
          <w:p>
            <w:pPr>
              <w:rPr>
                <w:rFonts w:hint="eastAsia" w:ascii="宋体"/>
                <w:b/>
                <w:color w:val="0000FF"/>
                <w:szCs w:val="21"/>
              </w:rPr>
            </w:pPr>
            <w:r>
              <w:rPr>
                <w:rFonts w:hint="eastAsia" w:ascii="宋体"/>
                <w:b/>
                <w:color w:val="0000FF"/>
                <w:szCs w:val="21"/>
              </w:rPr>
              <w:t>审核组长签字</w:t>
            </w:r>
          </w:p>
        </w:tc>
        <w:tc>
          <w:tcPr>
            <w:tcW w:w="2581" w:type="dxa"/>
            <w:tcMar>
              <w:left w:w="113" w:type="dxa"/>
            </w:tcMar>
            <w:vAlign w:val="center"/>
          </w:tcPr>
          <w:p>
            <w:pPr>
              <w:rPr>
                <w:rFonts w:hint="eastAsia" w:ascii="宋体"/>
                <w:b/>
                <w:color w:val="0000FF"/>
                <w:szCs w:val="21"/>
                <w:lang w:val="en-US" w:eastAsia="zh-CN"/>
              </w:rPr>
            </w:pPr>
            <w:r>
              <w:rPr>
                <w:rFonts w:hint="eastAsia" w:ascii="宋体"/>
                <w:b/>
                <w:color w:val="0000FF"/>
                <w:szCs w:val="21"/>
                <w:lang w:val="en-US" w:eastAsia="zh-CN"/>
              </w:rPr>
              <w:drawing>
                <wp:anchor distT="0" distB="0" distL="114300" distR="114300" simplePos="0" relativeHeight="251661312" behindDoc="0" locked="0" layoutInCell="1" allowOverlap="1">
                  <wp:simplePos x="0" y="0"/>
                  <wp:positionH relativeFrom="column">
                    <wp:posOffset>408940</wp:posOffset>
                  </wp:positionH>
                  <wp:positionV relativeFrom="paragraph">
                    <wp:posOffset>58420</wp:posOffset>
                  </wp:positionV>
                  <wp:extent cx="474345" cy="364490"/>
                  <wp:effectExtent l="0" t="0" r="8255" b="381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74345" cy="364490"/>
                          </a:xfrm>
                          <a:prstGeom prst="rect">
                            <a:avLst/>
                          </a:prstGeom>
                        </pic:spPr>
                      </pic:pic>
                    </a:graphicData>
                  </a:graphic>
                </wp:anchor>
              </w:drawing>
            </w:r>
          </w:p>
          <w:p>
            <w:pPr>
              <w:rPr>
                <w:rFonts w:hint="eastAsia" w:ascii="宋体"/>
                <w:b/>
                <w:color w:val="0000FF"/>
                <w:szCs w:val="21"/>
              </w:rPr>
            </w:pPr>
          </w:p>
        </w:tc>
        <w:tc>
          <w:tcPr>
            <w:tcW w:w="2764" w:type="dxa"/>
            <w:tcMar>
              <w:left w:w="113" w:type="dxa"/>
            </w:tcMar>
            <w:vAlign w:val="center"/>
          </w:tcPr>
          <w:p>
            <w:pPr>
              <w:rPr>
                <w:rFonts w:hint="eastAsia" w:ascii="宋体"/>
                <w:b/>
                <w:color w:val="0000FF"/>
                <w:szCs w:val="21"/>
              </w:rPr>
            </w:pPr>
            <w:r>
              <w:rPr>
                <w:rFonts w:hint="eastAsia" w:ascii="宋体"/>
                <w:b/>
                <w:color w:val="0000FF"/>
                <w:szCs w:val="21"/>
              </w:rPr>
              <w:t>日期</w:t>
            </w:r>
          </w:p>
        </w:tc>
        <w:tc>
          <w:tcPr>
            <w:tcW w:w="3338" w:type="dxa"/>
            <w:tcMar>
              <w:left w:w="113" w:type="dxa"/>
            </w:tcMar>
            <w:vAlign w:val="center"/>
          </w:tcPr>
          <w:p>
            <w:pPr>
              <w:rPr>
                <w:rFonts w:hint="default" w:ascii="宋体"/>
                <w:b/>
                <w:color w:val="0000FF"/>
                <w:szCs w:val="21"/>
                <w:lang w:val="en-US" w:eastAsia="zh-CN"/>
              </w:rPr>
            </w:pPr>
            <w:r>
              <w:rPr>
                <w:rFonts w:hint="eastAsia" w:ascii="宋体"/>
                <w:b/>
                <w:color w:val="0000FF"/>
                <w:szCs w:val="21"/>
                <w:lang w:val="en-US" w:eastAsia="zh-CN"/>
              </w:rPr>
              <w:t>2021.11.26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lang w:eastAsia="zh-CN"/>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w:t>
            </w:r>
            <w:r>
              <w:rPr>
                <w:rFonts w:hint="eastAsia"/>
                <w:lang w:eastAsia="zh-CN"/>
              </w:rPr>
              <w:t>□</w:t>
            </w:r>
            <w:r>
              <w:rPr>
                <w:rFonts w:hint="eastAsia"/>
              </w:rPr>
              <w:t>消防检测</w:t>
            </w:r>
            <w:r>
              <w:rPr>
                <w:rFonts w:hint="eastAsia"/>
                <w:lang w:eastAsia="zh-CN"/>
              </w:rPr>
              <w:t>□</w:t>
            </w:r>
            <w:r>
              <w:rPr>
                <w:rFonts w:hint="eastAsia"/>
              </w:rPr>
              <w:t>生产/服务过程</w:t>
            </w:r>
            <w:r>
              <w:rPr>
                <w:rFonts w:hint="eastAsia"/>
                <w:lang w:eastAsia="zh-CN"/>
              </w:rPr>
              <w:t>☑</w:t>
            </w:r>
            <w:r>
              <w:rPr>
                <w:rFonts w:hint="eastAsia"/>
              </w:rPr>
              <w:t>环保监测□产品运输□设备维修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ind w:firstLine="420" w:firstLineChars="200"/>
              <w:rPr>
                <w:u w:val="single"/>
              </w:rPr>
            </w:pPr>
            <w:r>
              <w:rPr>
                <w:rFonts w:hint="eastAsia"/>
                <w:u w:val="single"/>
              </w:rPr>
              <w:t>遵规守法  预防污染  节能降耗  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color w:val="auto"/>
                      <w:lang w:val="en-US" w:eastAsia="zh-CN"/>
                    </w:rPr>
                    <w:t>来自当地环保部门的监察</w:t>
                  </w:r>
                </w:p>
              </w:tc>
              <w:tc>
                <w:tcPr>
                  <w:tcW w:w="3965" w:type="dxa"/>
                  <w:vAlign w:val="top"/>
                </w:tcPr>
                <w:p>
                  <w:pPr>
                    <w:shd w:val="clear" w:color="auto" w:fill="EBF1DE" w:themeFill="accent3" w:themeFillTint="32"/>
                  </w:pPr>
                  <w:r>
                    <w:rPr>
                      <w:rFonts w:hint="eastAsia"/>
                      <w:color w:val="auto"/>
                      <w:lang w:val="en-US" w:eastAsia="zh-CN"/>
                    </w:rPr>
                    <w:t>合规合法经营</w:t>
                  </w:r>
                </w:p>
              </w:tc>
              <w:tc>
                <w:tcPr>
                  <w:tcW w:w="1717" w:type="dxa"/>
                  <w:vAlign w:val="top"/>
                </w:tcPr>
                <w:p>
                  <w:pPr>
                    <w:shd w:val="clear" w:color="auto" w:fill="EBF1DE" w:themeFill="accent3" w:themeFillTint="32"/>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pPr>
                  <w:r>
                    <w:rPr>
                      <w:rFonts w:hint="eastAsia"/>
                      <w:color w:val="auto"/>
                      <w:lang w:val="en-US" w:eastAsia="zh-CN"/>
                    </w:rPr>
                    <w:t>污染物超标排放</w:t>
                  </w:r>
                </w:p>
              </w:tc>
              <w:tc>
                <w:tcPr>
                  <w:tcW w:w="3965" w:type="dxa"/>
                  <w:vAlign w:val="top"/>
                </w:tcPr>
                <w:p>
                  <w:pPr>
                    <w:shd w:val="clear" w:color="auto" w:fill="EBF1DE" w:themeFill="accent3" w:themeFillTint="32"/>
                  </w:pPr>
                  <w:r>
                    <w:rPr>
                      <w:rFonts w:hint="eastAsia"/>
                      <w:color w:val="auto"/>
                      <w:lang w:val="en-US" w:eastAsia="zh-CN"/>
                    </w:rPr>
                    <w:t>环保设备正常运行</w:t>
                  </w:r>
                </w:p>
              </w:tc>
              <w:tc>
                <w:tcPr>
                  <w:tcW w:w="1717" w:type="dxa"/>
                  <w:vAlign w:val="top"/>
                </w:tcPr>
                <w:p>
                  <w:pPr>
                    <w:shd w:val="clear" w:color="auto" w:fill="EBF1DE" w:themeFill="accent3" w:themeFillTint="32"/>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color w:val="auto"/>
                      <w:lang w:val="en-US" w:eastAsia="zh-CN"/>
                    </w:rPr>
                    <w:t>危险废弃物未按照要求处置</w:t>
                  </w:r>
                </w:p>
              </w:tc>
              <w:tc>
                <w:tcPr>
                  <w:tcW w:w="3965" w:type="dxa"/>
                  <w:vAlign w:val="top"/>
                </w:tcPr>
                <w:p>
                  <w:pPr>
                    <w:shd w:val="clear" w:color="auto" w:fill="EBF1DE" w:themeFill="accent3" w:themeFillTint="32"/>
                  </w:pPr>
                  <w:r>
                    <w:rPr>
                      <w:rFonts w:hint="eastAsia"/>
                      <w:color w:val="auto"/>
                      <w:lang w:val="en-US" w:eastAsia="zh-CN"/>
                    </w:rPr>
                    <w:t>交由有资质的处理单位统一处理</w:t>
                  </w:r>
                </w:p>
              </w:tc>
              <w:tc>
                <w:tcPr>
                  <w:tcW w:w="1717" w:type="dxa"/>
                  <w:vAlign w:val="top"/>
                </w:tcPr>
                <w:p>
                  <w:pPr>
                    <w:shd w:val="clear" w:color="auto" w:fill="EBF1DE" w:themeFill="accent3" w:themeFillTint="32"/>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lang w:eastAsia="zh-CN"/>
              </w:rPr>
              <w:t>☑</w:t>
            </w:r>
            <w:r>
              <w:rPr>
                <w:rFonts w:hint="eastAsia"/>
              </w:rPr>
              <w:t>排污许可证编号：</w:t>
            </w:r>
            <w:r>
              <w:rPr>
                <w:rFonts w:hint="eastAsia"/>
                <w:lang w:val="en-US" w:eastAsia="zh-CN"/>
              </w:rPr>
              <w:t>916104255521672399001Q</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r>
              <w:rPr>
                <w:rFonts w:hint="eastAsia"/>
                <w:lang w:val="en-US" w:eastAsia="zh-CN"/>
              </w:rPr>
              <w:t>2013.6.30</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w:t>
            </w:r>
            <w:r>
              <w:rPr>
                <w:rFonts w:hint="eastAsia"/>
                <w:lang w:eastAsia="zh-CN"/>
              </w:rPr>
              <w:t>☑</w:t>
            </w:r>
            <w:r>
              <w:rPr>
                <w:rFonts w:hint="eastAsia"/>
              </w:rPr>
              <w:t>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300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00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r>
                    <w:rPr>
                      <w:rFonts w:hint="eastAsia" w:ascii="宋体" w:hAnsi="宋体"/>
                      <w:bCs/>
                      <w:sz w:val="21"/>
                      <w:szCs w:val="21"/>
                    </w:rPr>
                    <w:t>环境污染事故为零</w:t>
                  </w:r>
                </w:p>
              </w:tc>
              <w:tc>
                <w:tcPr>
                  <w:tcW w:w="3006" w:type="dxa"/>
                  <w:shd w:val="clear" w:color="auto" w:fill="auto"/>
                  <w:vAlign w:val="center"/>
                </w:tcPr>
                <w:p>
                  <w:pPr>
                    <w:shd w:val="clear" w:color="auto" w:fill="EBF1DE" w:themeFill="accent3" w:themeFillTint="32"/>
                    <w:rPr>
                      <w:lang w:val="en-GB"/>
                    </w:rPr>
                  </w:pPr>
                  <w:r>
                    <w:rPr>
                      <w:rFonts w:hint="eastAsia"/>
                      <w:lang w:val="en-US" w:eastAsia="zh-CN"/>
                    </w:rPr>
                    <w:t>加强环保设备的运行维护</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pPr>
                    <w:tabs>
                      <w:tab w:val="left" w:pos="10080"/>
                    </w:tabs>
                  </w:pPr>
                  <w:r>
                    <w:rPr>
                      <w:rFonts w:hint="eastAsia" w:ascii="宋体" w:hAnsi="宋体"/>
                      <w:sz w:val="21"/>
                      <w:szCs w:val="21"/>
                    </w:rPr>
                    <w:t>固体废物分类处置合格率≥95%</w:t>
                  </w:r>
                </w:p>
              </w:tc>
              <w:tc>
                <w:tcPr>
                  <w:tcW w:w="3006"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US" w:eastAsia="zh-CN"/>
                    </w:rPr>
                    <w:t>加强废弃物有效处理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综合管理部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r>
                    <w:rPr>
                      <w:rFonts w:hint="eastAsia" w:ascii="宋体" w:hAnsi="宋体"/>
                      <w:bCs/>
                      <w:sz w:val="21"/>
                      <w:szCs w:val="21"/>
                    </w:rPr>
                    <w:t>万元产值</w:t>
                  </w:r>
                  <w:r>
                    <w:rPr>
                      <w:rFonts w:hint="eastAsia" w:ascii="宋体" w:hAnsi="宋体"/>
                      <w:sz w:val="21"/>
                      <w:szCs w:val="21"/>
                    </w:rPr>
                    <w:t>电消耗1%</w:t>
                  </w:r>
                  <w:r>
                    <w:rPr>
                      <w:rFonts w:hint="eastAsia" w:ascii="宋体" w:hAnsi="宋体"/>
                      <w:bCs/>
                      <w:sz w:val="21"/>
                      <w:szCs w:val="21"/>
                    </w:rPr>
                    <w:t>。</w:t>
                  </w:r>
                </w:p>
              </w:tc>
              <w:tc>
                <w:tcPr>
                  <w:tcW w:w="3006"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US" w:eastAsia="zh-CN"/>
                    </w:rPr>
                    <w:t>节约能源</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综合管理部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eastAsia="宋体" w:cs="Times New Roman"/>
                      <w:lang w:val="en-GB"/>
                    </w:rPr>
                    <w:t>1</w:t>
                  </w:r>
                  <w:r>
                    <w:rPr>
                      <w:rFonts w:hint="eastAsia" w:ascii="宋体" w:hAnsi="宋体" w:eastAsia="宋体" w:cs="Times New Roman"/>
                      <w:lang w:val="en-GB" w:eastAsia="zh-CN"/>
                    </w:rPr>
                    <w:t>.</w:t>
                  </w:r>
                  <w:r>
                    <w:rPr>
                      <w:rFonts w:hint="eastAsia" w:ascii="宋体" w:hAnsi="宋体" w:eastAsia="宋体" w:cs="Times New Roman"/>
                      <w:lang w:val="en-US" w:eastAsia="zh-CN"/>
                    </w:rPr>
                    <w:t>2</w:t>
                  </w:r>
                  <w:r>
                    <w:rPr>
                      <w:rFonts w:hint="eastAsia" w:ascii="宋体" w:hAnsi="宋体" w:eastAsia="宋体" w:cs="Times New Roman"/>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r>
                    <w:rPr>
                      <w:rFonts w:hint="eastAsia" w:ascii="宋体" w:hAnsi="宋体"/>
                      <w:bCs/>
                      <w:sz w:val="21"/>
                      <w:szCs w:val="21"/>
                    </w:rPr>
                    <w:t>火灾事故为零</w:t>
                  </w:r>
                </w:p>
              </w:tc>
              <w:tc>
                <w:tcPr>
                  <w:tcW w:w="3006" w:type="dxa"/>
                  <w:shd w:val="clear" w:color="auto" w:fill="auto"/>
                  <w:vAlign w:val="center"/>
                </w:tcPr>
                <w:p>
                  <w:pPr>
                    <w:shd w:val="clear" w:color="auto" w:fill="EBF1DE" w:themeFill="accent3" w:themeFillTint="32"/>
                    <w:rPr>
                      <w:rFonts w:hint="default" w:ascii="宋体" w:hAnsi="宋体"/>
                      <w:lang w:val="en-US"/>
                    </w:rPr>
                  </w:pPr>
                  <w:r>
                    <w:rPr>
                      <w:rFonts w:hint="eastAsia" w:ascii="宋体" w:hAnsi="宋体" w:eastAsia="宋体" w:cs="Times New Roman"/>
                      <w:lang w:val="en-US" w:eastAsia="zh-CN"/>
                    </w:rPr>
                    <w:t>加强管理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shd w:val="clear" w:color="auto" w:fill="auto"/>
                  <w:vAlign w:val="center"/>
                </w:tcPr>
                <w:p/>
              </w:tc>
              <w:tc>
                <w:tcPr>
                  <w:tcW w:w="300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数控车床 、加工中心、铣床、数控锯床、磨床</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分类垃圾桶、危废仓库、灭火器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rPr>
              <w:t>带表卡尺、数显外径千分尺、</w:t>
            </w:r>
            <w:r>
              <w:rPr>
                <w:rFonts w:hint="eastAsia"/>
                <w:u w:val="single"/>
                <w:lang w:val="en-US" w:eastAsia="zh-CN"/>
              </w:rPr>
              <w:t>百分表、</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530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5300" w:type="dxa"/>
                </w:tcPr>
                <w:p>
                  <w:pPr>
                    <w:shd w:val="clear" w:color="auto" w:fill="EBF1DE" w:themeFill="accent3" w:themeFillTint="32"/>
                    <w:jc w:val="left"/>
                  </w:pPr>
                  <w:r>
                    <w:rPr>
                      <w:rFonts w:hint="eastAsia"/>
                    </w:rPr>
                    <w:t>控制措施</w:t>
                  </w:r>
                </w:p>
              </w:tc>
              <w:tc>
                <w:tcPr>
                  <w:tcW w:w="1630"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5300" w:type="dxa"/>
                </w:tcPr>
                <w:p>
                  <w:pPr>
                    <w:shd w:val="clear" w:color="auto" w:fill="EBF1DE" w:themeFill="accent3" w:themeFillTint="32"/>
                    <w:jc w:val="left"/>
                  </w:pPr>
                  <w:r>
                    <w:rPr>
                      <w:rFonts w:hint="eastAsia"/>
                    </w:rPr>
                    <w:t>生产过程注意节水、节电、节约塑料材料，人走关闭设备和照明开关，现场未发现有漏水和浪费电能的现象。</w:t>
                  </w:r>
                </w:p>
              </w:tc>
              <w:tc>
                <w:tcPr>
                  <w:tcW w:w="1630"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592" w:type="dxa"/>
                </w:tcPr>
                <w:p>
                  <w:pPr>
                    <w:shd w:val="clear" w:color="auto" w:fill="EBF1DE" w:themeFill="accent3" w:themeFillTint="32"/>
                    <w:jc w:val="left"/>
                  </w:pPr>
                  <w:r>
                    <w:rPr>
                      <w:rFonts w:hint="eastAsia"/>
                    </w:rPr>
                    <w:t>资源消耗</w:t>
                  </w:r>
                </w:p>
              </w:tc>
              <w:tc>
                <w:tcPr>
                  <w:tcW w:w="5300" w:type="dxa"/>
                </w:tcPr>
                <w:p>
                  <w:pPr>
                    <w:shd w:val="clear" w:color="auto" w:fill="EBF1DE" w:themeFill="accent3" w:themeFillTint="32"/>
                    <w:jc w:val="left"/>
                  </w:pPr>
                  <w:r>
                    <w:rPr>
                      <w:rFonts w:hint="eastAsia"/>
                    </w:rPr>
                    <w:t>公司从工艺设计和采购产品时已考虑了产品的环保性（包括原材料），生产过程中，严格按照环保等管理制度实施，控制好辅助材料的用量，避免浪费，生命周期终了时钢材还可以回收再利用。</w:t>
                  </w:r>
                </w:p>
              </w:tc>
              <w:tc>
                <w:tcPr>
                  <w:tcW w:w="1630"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5300" w:type="dxa"/>
                </w:tcPr>
                <w:p>
                  <w:pPr>
                    <w:shd w:val="clear" w:color="auto" w:fill="EBF1DE" w:themeFill="accent3" w:themeFillTint="32"/>
                    <w:jc w:val="left"/>
                    <w:rPr>
                      <w:rFonts w:hint="default" w:eastAsia="宋体"/>
                      <w:lang w:val="en-US" w:eastAsia="zh-CN"/>
                    </w:rPr>
                  </w:pPr>
                  <w:r>
                    <w:rPr>
                      <w:rFonts w:hint="eastAsia"/>
                      <w:lang w:val="en-US" w:eastAsia="zh-CN"/>
                    </w:rPr>
                    <w:t>生产不产生废水，</w:t>
                  </w:r>
                  <w:r>
                    <w:rPr>
                      <w:rFonts w:hint="eastAsia"/>
                    </w:rPr>
                    <w:t>生活废水经由厂内一体化污水处理设施处理后，</w:t>
                  </w:r>
                  <w:r>
                    <w:rPr>
                      <w:rFonts w:hint="eastAsia"/>
                      <w:lang w:val="en-US" w:eastAsia="zh-CN"/>
                    </w:rPr>
                    <w:t>排入市政管网。</w:t>
                  </w:r>
                </w:p>
              </w:tc>
              <w:tc>
                <w:tcPr>
                  <w:tcW w:w="1630"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5300" w:type="dxa"/>
                </w:tcPr>
                <w:p>
                  <w:pPr>
                    <w:shd w:val="clear" w:color="auto" w:fill="EBF1DE" w:themeFill="accent3" w:themeFillTint="32"/>
                    <w:jc w:val="left"/>
                  </w:pPr>
                  <w:r>
                    <w:rPr>
                      <w:rFonts w:hint="eastAsia" w:ascii="宋体" w:hAnsi="宋体" w:eastAsia="宋体" w:cs="宋体"/>
                      <w:sz w:val="21"/>
                      <w:szCs w:val="21"/>
                      <w:lang w:val="en-US" w:eastAsia="zh-CN"/>
                    </w:rPr>
                    <w:t>废气主要来自车间粉尘，安装除烟除尘器进行有效控制；餐厅安装静电式油烟净化装置，确保经处理后的油烟满足《饮食业油烟排放标准》（GB18483-2001）要求。</w:t>
                  </w:r>
                </w:p>
              </w:tc>
              <w:tc>
                <w:tcPr>
                  <w:tcW w:w="1630"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5300" w:type="dxa"/>
                </w:tcPr>
                <w:p>
                  <w:pPr>
                    <w:shd w:val="clear" w:color="auto" w:fill="EBF1DE" w:themeFill="accent3" w:themeFillTint="32"/>
                    <w:jc w:val="left"/>
                  </w:pPr>
                  <w:r>
                    <w:rPr>
                      <w:rFonts w:hint="eastAsia"/>
                    </w:rPr>
                    <w:t>噪音主要来自各种生产机械设备运行时所产生的噪声，选用相对低耗能、低噪音的优质设备，生产车间的门窗均采用隔音效果好的门窗，各设备安装时对设备基座加装防震垫圈。</w:t>
                  </w:r>
                </w:p>
              </w:tc>
              <w:tc>
                <w:tcPr>
                  <w:tcW w:w="1630"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5300" w:type="dxa"/>
                </w:tcPr>
                <w:p>
                  <w:pPr>
                    <w:shd w:val="clear" w:color="auto" w:fill="EBF1DE" w:themeFill="accent3" w:themeFillTint="32"/>
                    <w:jc w:val="left"/>
                  </w:pPr>
                  <w:r>
                    <w:rPr>
                      <w:rFonts w:hint="eastAsia" w:ascii="宋体" w:hAnsi="宋体" w:eastAsia="宋体" w:cs="宋体"/>
                      <w:sz w:val="21"/>
                      <w:szCs w:val="21"/>
                      <w:lang w:val="en-US" w:eastAsia="zh-CN"/>
                    </w:rPr>
                    <w:t>产生的各类废弃物实行分类处理。下角料等生产性固体废物经收集后综合利用或出售；废乳化液、废机油、废棉纱等危险固体废物委托有资质的单位处置；生活垃圾及时交由环卫部门集中运送填埋处理。</w:t>
                  </w:r>
                </w:p>
              </w:tc>
              <w:tc>
                <w:tcPr>
                  <w:tcW w:w="1630"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5300"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163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5300" w:type="dxa"/>
                </w:tcPr>
                <w:p>
                  <w:pPr>
                    <w:shd w:val="clear" w:color="auto" w:fill="EBF1DE" w:themeFill="accent3" w:themeFillTint="32"/>
                    <w:jc w:val="left"/>
                  </w:pPr>
                  <w:r>
                    <w:rPr>
                      <w:rFonts w:hint="eastAsia"/>
                    </w:rPr>
                    <w:t>公司生产车间和办公区域配备了消防栓、灭火器，</w:t>
                  </w:r>
                </w:p>
              </w:tc>
              <w:tc>
                <w:tcPr>
                  <w:tcW w:w="1630" w:type="dxa"/>
                </w:tcPr>
                <w:p>
                  <w:pPr>
                    <w:shd w:val="clear" w:color="auto" w:fill="EBF1DE" w:themeFill="accent3" w:themeFillTint="32"/>
                    <w:jc w:val="left"/>
                  </w:pPr>
                  <w:r>
                    <w:rPr>
                      <w:rFonts w:hint="eastAsia"/>
                    </w:rPr>
                    <w:t>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5300" w:type="dxa"/>
                </w:tcPr>
                <w:p>
                  <w:pPr>
                    <w:shd w:val="clear" w:color="auto" w:fill="EBF1DE" w:themeFill="accent3" w:themeFillTint="32"/>
                    <w:jc w:val="left"/>
                  </w:pPr>
                </w:p>
              </w:tc>
              <w:tc>
                <w:tcPr>
                  <w:tcW w:w="1630"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编号JD2-QZ-D-20-0512《桥式起重机检验报告》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21</w:t>
            </w:r>
            <w:r>
              <w:rPr>
                <w:rFonts w:hint="eastAsia"/>
              </w:rPr>
              <w:t>日进行了</w:t>
            </w:r>
            <w:r>
              <w:rPr>
                <w:rFonts w:hint="eastAsia" w:eastAsia="宋体"/>
                <w:u w:val="single"/>
              </w:rPr>
              <w:t xml:space="preserve"> 消防应急预案 </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博森监（综）字（2021）第07020号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10-11</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sz w:val="20"/>
          <w:szCs w:val="20"/>
        </w:rPr>
      </w:pPr>
      <w:r>
        <w:br w:type="page"/>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022687"/>
    <w:rsid w:val="32EF7C2F"/>
    <w:rsid w:val="57F158F8"/>
    <w:rsid w:val="74AE7D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2021-11-27T08:09:37Z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