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235-2021-Q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甘肃中海空港电力设备制造有限公司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323"/>
        <w:gridCol w:w="1099"/>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甘肃中海空港电力设备制造有限公司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188" w:type="dxa"/>
            <w:gridSpan w:val="3"/>
          </w:tcPr>
          <w:p>
            <w:bookmarkStart w:id="6" w:name="注册地址"/>
            <w:r>
              <w:t>甘肃省定西市安定区循环经济产业园区新城大道9-9号</w:t>
            </w:r>
            <w:bookmarkEnd w:id="6"/>
          </w:p>
        </w:tc>
        <w:tc>
          <w:tcPr>
            <w:tcW w:w="1099" w:type="dxa"/>
            <w:vMerge w:val="restart"/>
            <w:vAlign w:val="center"/>
          </w:tcPr>
          <w:p>
            <w:r>
              <w:rPr>
                <w:rFonts w:hint="eastAsia"/>
              </w:rPr>
              <w:t>邮编</w:t>
            </w:r>
          </w:p>
        </w:tc>
        <w:tc>
          <w:tcPr>
            <w:tcW w:w="1771" w:type="dxa"/>
          </w:tcPr>
          <w:p>
            <w:bookmarkStart w:id="7" w:name="注册邮编"/>
            <w:r>
              <w:t>744300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188" w:type="dxa"/>
            <w:gridSpan w:val="3"/>
          </w:tcPr>
          <w:p>
            <w:bookmarkStart w:id="8" w:name="生产地址"/>
            <w:r>
              <w:t>甘肃省定西市安定区循环经济产业园区新城大道9-9号</w:t>
            </w:r>
            <w:bookmarkEnd w:id="8"/>
          </w:p>
        </w:tc>
        <w:tc>
          <w:tcPr>
            <w:tcW w:w="1099" w:type="dxa"/>
            <w:vMerge w:val="continue"/>
            <w:vAlign w:val="center"/>
          </w:tcPr>
          <w:p/>
        </w:tc>
        <w:tc>
          <w:tcPr>
            <w:tcW w:w="1771" w:type="dxa"/>
          </w:tcPr>
          <w:p>
            <w:bookmarkStart w:id="9" w:name="办公邮编"/>
            <w:r>
              <w:t>744300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常汉义</w:t>
            </w:r>
            <w:bookmarkEnd w:id="10"/>
          </w:p>
        </w:tc>
        <w:tc>
          <w:tcPr>
            <w:tcW w:w="1313" w:type="dxa"/>
            <w:vAlign w:val="center"/>
          </w:tcPr>
          <w:p>
            <w:r>
              <w:rPr>
                <w:rFonts w:hint="eastAsia"/>
              </w:rPr>
              <w:t>电话.</w:t>
            </w:r>
          </w:p>
        </w:tc>
        <w:tc>
          <w:tcPr>
            <w:tcW w:w="2323" w:type="dxa"/>
            <w:vAlign w:val="center"/>
          </w:tcPr>
          <w:p>
            <w:bookmarkStart w:id="11" w:name="联系人电话"/>
            <w:r>
              <w:t>18947410306</w:t>
            </w:r>
            <w:bookmarkEnd w:id="11"/>
          </w:p>
        </w:tc>
        <w:tc>
          <w:tcPr>
            <w:tcW w:w="1099"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连继东</w:t>
            </w:r>
            <w:bookmarkEnd w:id="13"/>
          </w:p>
        </w:tc>
        <w:tc>
          <w:tcPr>
            <w:tcW w:w="1313" w:type="dxa"/>
            <w:vAlign w:val="center"/>
          </w:tcPr>
          <w:p>
            <w:r>
              <w:rPr>
                <w:rFonts w:hint="eastAsia"/>
              </w:rPr>
              <w:t>管理者代表</w:t>
            </w:r>
          </w:p>
        </w:tc>
        <w:tc>
          <w:tcPr>
            <w:tcW w:w="2323" w:type="dxa"/>
          </w:tcPr>
          <w:p>
            <w:bookmarkStart w:id="14" w:name="管理者代表"/>
            <w:r>
              <w:t>常汉义</w:t>
            </w:r>
            <w:bookmarkEnd w:id="14"/>
          </w:p>
        </w:tc>
        <w:tc>
          <w:tcPr>
            <w:tcW w:w="1099"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电杆生产流程：配料→搅拌→装筋→浇灌→离心成型→自然养护→脱模→成品检验</w:t>
            </w:r>
          </w:p>
          <w:p>
            <w:pPr>
              <w:rPr>
                <w:rFonts w:hint="eastAsia"/>
                <w:lang w:val="en-US" w:eastAsia="zh-CN"/>
              </w:rPr>
            </w:pPr>
            <w:r>
              <w:rPr>
                <w:rFonts w:hint="eastAsia" w:ascii="Times New Roman" w:hAnsi="Times New Roman" w:eastAsia="宋体" w:cs="Times New Roman"/>
                <w:lang w:val="en-US" w:eastAsia="zh-CN"/>
              </w:rPr>
              <w:t>高低压电器设备销售流程：</w:t>
            </w:r>
          </w:p>
          <w:p>
            <w:r>
              <w:rPr>
                <w:rFonts w:hint="eastAsia" w:ascii="Times New Roman" w:hAnsi="Times New Roman" w:eastAsia="宋体" w:cs="Times New Roman"/>
                <w:lang w:val="en-US" w:eastAsia="zh-CN"/>
              </w:rPr>
              <w:t>售前准备—收集客户信息—需求分析—销售报价—签订销售合同—合同评审—确认销售产品、销售出库—销售收款</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2021年11月24日 上午至2021年11月24日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甘肃省定西市安定区循环经济产业园区新城大道9-9号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环形混凝土电杆的生产和高低压电器的销售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16.02.01;29.10.07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r>
              <w:rPr>
                <w:rFonts w:hint="eastAsia" w:ascii="宋体" w:hAnsi="宋体" w:cs="宋体"/>
                <w:szCs w:val="21"/>
                <w:lang w:val="en-US" w:eastAsia="zh-CN"/>
              </w:rPr>
              <w:t xml:space="preserve">公司不适用条款伟8.3   </w:t>
            </w:r>
            <w:r>
              <w:rPr>
                <w:rFonts w:hint="eastAsia" w:ascii="宋体" w:hAnsi="宋体" w:cs="宋体"/>
                <w:szCs w:val="21"/>
              </w:rPr>
              <w:t>公司根据顾客需求、产品相关标准进行生产，不涉及产品的设计和开发，不适用标准8.3条款的内容。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pPr>
              <w:rPr>
                <w:rFonts w:hint="eastAsia" w:ascii="Times New Roman" w:hAnsi="Times New Roman" w:eastAsia="宋体" w:cs="Times New Roman"/>
              </w:rPr>
            </w:pPr>
            <w:r>
              <w:rPr>
                <w:rFonts w:hint="eastAsia"/>
              </w:rPr>
              <w:t>■受审核组织按照</w:t>
            </w:r>
            <w:r>
              <w:rPr>
                <w:rFonts w:hint="eastAsia" w:ascii="Times New Roman" w:hAnsi="Times New Roman" w:eastAsia="宋体" w:cs="Times New Roman"/>
              </w:rPr>
              <w:t>顾客图纸和合同要求提供生产和服务</w:t>
            </w:r>
          </w:p>
          <w:p>
            <w:r>
              <w:rPr>
                <w:rFonts w:hint="eastAsia" w:ascii="Times New Roman" w:hAnsi="Times New Roman" w:eastAsia="宋体" w:cs="Times New Roman"/>
              </w:rPr>
              <w:t>□受审核组织按照公司总部</w:t>
            </w:r>
            <w:r>
              <w:rPr>
                <w:rFonts w:hint="eastAsia"/>
              </w:rPr>
              <w:t>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2020年12月03日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2021年11月7日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甘肃中海空港电力设备制造有限公司</w:t>
            </w:r>
          </w:p>
          <w:p>
            <w:pPr>
              <w:pStyle w:val="2"/>
              <w:rPr>
                <w:lang w:val="de-DE" w:eastAsia="ja-JP"/>
              </w:rPr>
            </w:pPr>
            <w:r>
              <w:t>甘肃省定西市安定区循环经济产业园区新城大道9-9号</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t>环形混凝土电杆的生产和高低压电器的销售</w:t>
            </w: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2019-N1QMS-2102147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管代：常汉义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变更为：</w:t>
            </w:r>
            <w:r>
              <w:t>环形混凝土电杆的生产和高低压电器的销售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变更为：15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rPr>
                <w:rFonts w:hint="eastAsia" w:eastAsia="宋体"/>
                <w:lang w:eastAsia="zh-CN"/>
              </w:rPr>
            </w:pPr>
            <w:r>
              <w:rPr>
                <w:rFonts w:hint="eastAsia"/>
              </w:rPr>
              <w:t>审核组意见</w:t>
            </w:r>
            <w:r>
              <w:rPr>
                <w:rFonts w:hint="eastAsia"/>
                <w:lang w:eastAsia="zh-CN"/>
              </w:rPr>
              <w:t>：</w:t>
            </w:r>
            <w:r>
              <w:rPr>
                <w:rFonts w:hint="eastAsia"/>
              </w:rPr>
              <w:t>在完成纠正措施后推荐认证注册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1"/>
        <w:gridCol w:w="2545"/>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061" w:type="dxa"/>
            <w:vAlign w:val="center"/>
          </w:tcPr>
          <w:p>
            <w:pPr>
              <w:rPr>
                <w:rFonts w:ascii="宋体"/>
                <w:b/>
                <w:color w:val="0000FF"/>
                <w:szCs w:val="21"/>
              </w:rPr>
            </w:pPr>
            <w:r>
              <w:rPr>
                <w:rFonts w:hint="eastAsia" w:ascii="宋体"/>
                <w:b/>
                <w:color w:val="0000FF"/>
                <w:szCs w:val="21"/>
              </w:rPr>
              <w:t>突发事件的处置措施</w:t>
            </w:r>
          </w:p>
        </w:tc>
        <w:tc>
          <w:tcPr>
            <w:tcW w:w="8075"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061" w:type="dxa"/>
            <w:vMerge w:val="restart"/>
            <w:vAlign w:val="center"/>
          </w:tcPr>
          <w:p>
            <w:pPr>
              <w:rPr>
                <w:rFonts w:ascii="宋体"/>
                <w:b/>
                <w:color w:val="0000FF"/>
                <w:szCs w:val="21"/>
              </w:rPr>
            </w:pPr>
            <w:r>
              <w:rPr>
                <w:rFonts w:hint="eastAsia"/>
                <w:b/>
                <w:bCs/>
                <w:color w:val="0000FF"/>
              </w:rPr>
              <w:t>远程审核的有效性评价（适用时）</w:t>
            </w:r>
          </w:p>
        </w:tc>
        <w:tc>
          <w:tcPr>
            <w:tcW w:w="8075"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061" w:type="dxa"/>
            <w:vMerge w:val="continue"/>
            <w:vAlign w:val="center"/>
          </w:tcPr>
          <w:p>
            <w:pPr>
              <w:rPr>
                <w:rFonts w:ascii="宋体"/>
                <w:b/>
                <w:color w:val="0000FF"/>
                <w:szCs w:val="21"/>
              </w:rPr>
            </w:pPr>
          </w:p>
        </w:tc>
        <w:tc>
          <w:tcPr>
            <w:tcW w:w="807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061" w:type="dxa"/>
          </w:tcPr>
          <w:p>
            <w:r>
              <w:rPr>
                <w:rFonts w:hint="eastAsia"/>
              </w:rPr>
              <w:t>审核组长签字</w:t>
            </w:r>
          </w:p>
        </w:tc>
        <w:tc>
          <w:tcPr>
            <w:tcW w:w="2545" w:type="dxa"/>
            <w:tcMar>
              <w:left w:w="113" w:type="dxa"/>
            </w:tcMar>
          </w:tcPr>
          <w:p>
            <w:r>
              <w:rPr>
                <w:rFonts w:hint="eastAsia"/>
                <w:kern w:val="0"/>
                <w:sz w:val="24"/>
              </w:rPr>
              <w:drawing>
                <wp:anchor distT="0" distB="0" distL="114300" distR="114300" simplePos="0" relativeHeight="251661312" behindDoc="1" locked="0" layoutInCell="1" allowOverlap="1">
                  <wp:simplePos x="0" y="0"/>
                  <wp:positionH relativeFrom="column">
                    <wp:posOffset>167005</wp:posOffset>
                  </wp:positionH>
                  <wp:positionV relativeFrom="paragraph">
                    <wp:posOffset>62230</wp:posOffset>
                  </wp:positionV>
                  <wp:extent cx="692150" cy="325755"/>
                  <wp:effectExtent l="0" t="0" r="0" b="10160"/>
                  <wp:wrapNone/>
                  <wp:docPr id="1"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安涛签名透明1"/>
                          <pic:cNvPicPr>
                            <a:picLocks noChangeAspect="1"/>
                          </pic:cNvPicPr>
                        </pic:nvPicPr>
                        <pic:blipFill>
                          <a:blip r:embed="rId6"/>
                          <a:stretch>
                            <a:fillRect/>
                          </a:stretch>
                        </pic:blipFill>
                        <pic:spPr>
                          <a:xfrm>
                            <a:off x="0" y="0"/>
                            <a:ext cx="692150" cy="325755"/>
                          </a:xfrm>
                          <a:prstGeom prst="rect">
                            <a:avLst/>
                          </a:prstGeom>
                          <a:noFill/>
                          <a:ln>
                            <a:noFill/>
                          </a:ln>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2021年11月24日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wAfter w:w="352" w:type="dxa"/>
        </w:trPr>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专业生产，精益求精；持续创新，优质服务</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color w:val="auto"/>
                      <w:kern w:val="2"/>
                      <w:sz w:val="21"/>
                      <w:szCs w:val="24"/>
                      <w:highlight w:val="none"/>
                      <w:lang w:val="en-GB" w:eastAsia="zh-CN" w:bidi="ar-SA"/>
                    </w:rPr>
                  </w:pPr>
                  <w:r>
                    <w:rPr>
                      <w:rFonts w:hint="eastAsia" w:eastAsia="宋体"/>
                      <w:color w:val="auto"/>
                      <w:highlight w:val="none"/>
                      <w:lang w:val="en-US" w:eastAsia="zh-CN"/>
                    </w:rPr>
                    <w:t>综合管理部</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GB" w:eastAsia="zh-CN" w:bidi="ar-SA"/>
                    </w:rPr>
                  </w:pPr>
                  <w:r>
                    <w:rPr>
                      <w:rFonts w:hint="eastAsia" w:eastAsia="宋体"/>
                      <w:color w:val="auto"/>
                      <w:highlight w:val="none"/>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顾客投诉</w:t>
                  </w:r>
                  <w:r>
                    <w:rPr>
                      <w:rFonts w:hint="eastAsia" w:ascii="宋体" w:hAnsi="宋体" w:eastAsia="宋体" w:cs="Times New Roman"/>
                      <w:lang w:val="en-US" w:eastAsia="zh-CN"/>
                    </w:rPr>
                    <w:t>及退货</w:t>
                  </w:r>
                  <w:r>
                    <w:rPr>
                      <w:rFonts w:hint="eastAsia" w:ascii="宋体" w:hAnsi="宋体" w:eastAsia="宋体" w:cs="Times New Roman"/>
                    </w:rPr>
                    <w:t>次数≤</w:t>
                  </w:r>
                  <w:r>
                    <w:rPr>
                      <w:rFonts w:hint="eastAsia" w:ascii="宋体" w:hAnsi="宋体" w:eastAsia="宋体" w:cs="Times New Roman"/>
                      <w:lang w:val="en-US" w:eastAsia="zh-CN"/>
                    </w:rPr>
                    <w:t>6</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eastAsia="宋体"/>
                      <w:color w:val="auto"/>
                      <w:highlight w:val="none"/>
                      <w:lang w:val="en-US" w:eastAsia="zh-CN"/>
                    </w:rPr>
                    <w:t>综合管理部</w:t>
                  </w:r>
                  <w:r>
                    <w:rPr>
                      <w:rFonts w:hint="eastAsia" w:eastAsia="宋体"/>
                      <w:lang w:val="en-US" w:eastAsia="zh-CN"/>
                    </w:rPr>
                    <w:t>统计</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eastAsia="宋体"/>
                      <w:color w:val="auto"/>
                      <w:highlight w:val="none"/>
                      <w:lang w:val="en-US" w:eastAsia="zh-CN"/>
                    </w:rPr>
                    <w:t>综合管理部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ascii="Times New Roman" w:hAnsi="Times New Roman" w:eastAsia="宋体" w:cs="Times New Roman"/>
                <w:lang w:val="en-US" w:eastAsia="zh-CN"/>
              </w:rPr>
              <w:t xml:space="preserve">2000平方米； </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w:t>
            </w:r>
          </w:p>
          <w:p>
            <w:pPr>
              <w:shd w:val="clear" w:color="auto" w:fill="C7DAF1" w:themeFill="text2" w:themeFillTint="32"/>
              <w:rPr>
                <w:highlight w:val="none"/>
              </w:rPr>
            </w:pPr>
            <w:r>
              <w:rPr>
                <w:rFonts w:hint="eastAsia"/>
              </w:rPr>
              <w:t>特种设备：</w:t>
            </w:r>
            <w:r>
              <w:rPr>
                <w:rFonts w:hint="eastAsia" w:ascii="Wingdings" w:hAnsi="Wingdings"/>
              </w:rPr>
              <w:t>¨</w:t>
            </w:r>
            <w:r>
              <w:rPr>
                <w:rFonts w:hint="eastAsia"/>
                <w:highlight w:val="none"/>
              </w:rPr>
              <w:t>叉车■行车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Wingdings" w:hAnsi="Wingdings"/>
                <w:highlight w:val="none"/>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特种设备管理：■进行了定期检验</w:t>
            </w:r>
            <w:r>
              <w:rPr>
                <w:rFonts w:hint="eastAsia" w:ascii="Wingdings" w:hAnsi="Wingdings"/>
                <w:highlight w:val="none"/>
              </w:rPr>
              <w:t>¨</w:t>
            </w:r>
            <w:r>
              <w:rPr>
                <w:rFonts w:hint="eastAsia"/>
                <w:highlight w:val="none"/>
              </w:rPr>
              <w:t>未进行定期检验的有：</w:t>
            </w:r>
          </w:p>
          <w:p>
            <w:pPr>
              <w:shd w:val="clear" w:color="auto" w:fill="C7DAF1" w:themeFill="text2" w:themeFillTint="32"/>
            </w:pPr>
            <w:r>
              <w:rPr>
                <w:rFonts w:hint="eastAsia"/>
                <w:highlight w:val="none"/>
              </w:rPr>
              <w:t>■组织</w:t>
            </w:r>
            <w:r>
              <w:rPr>
                <w:highlight w:val="none"/>
              </w:rPr>
              <w:t>现有</w:t>
            </w:r>
            <w:r>
              <w:rPr>
                <w:rFonts w:hint="eastAsia"/>
                <w:highlight w:val="none"/>
              </w:rPr>
              <w:t>基础设施可满足质量管</w:t>
            </w:r>
            <w:r>
              <w:rPr>
                <w:rFonts w:hint="eastAsia"/>
              </w:rPr>
              <w:t>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环形混凝土电杆</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离心成型过程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转速、时间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eastAsia"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pPr>
          </w:p>
          <w:p>
            <w:pPr>
              <w:shd w:val="clear" w:color="auto" w:fill="C7DAF1" w:themeFill="text2" w:themeFillTint="32"/>
              <w:jc w:val="left"/>
              <w:rPr>
                <w:rFonts w:hint="eastAsia" w:ascii="Times New Roman" w:hAnsi="Times New Roman" w:eastAsia="宋体" w:cs="Times New Roman"/>
              </w:rPr>
            </w:pPr>
            <w:r>
              <w:rPr>
                <w:rFonts w:hint="eastAsia"/>
              </w:rPr>
              <w:t>需要确认的过程：</w:t>
            </w:r>
            <w:r>
              <w:rPr>
                <w:rFonts w:hint="eastAsia" w:ascii="Times New Roman" w:hAnsi="Times New Roman" w:eastAsia="宋体" w:cs="Times New Roman"/>
                <w:lang w:val="en-US" w:eastAsia="zh-CN"/>
              </w:rPr>
              <w:t>销售、焊接过程</w:t>
            </w:r>
            <w:r>
              <w:rPr>
                <w:rFonts w:hint="eastAsia" w:ascii="Times New Roman" w:hAnsi="Times New Roman" w:eastAsia="宋体" w:cs="Times New Roman"/>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23-24</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6A0618"/>
    <w:rsid w:val="165758CB"/>
    <w:rsid w:val="7FC96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2021-11-24T05:32:36Z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