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南京佐景电子商务有限公司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南京市溧水区石湫街道影视大道9号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江苏省南京市溧水区石湫街道雨山路1号石湫街道办事处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张西然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18963623200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宋文豪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609700510@qq.com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0644-2020-FH-2021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第1次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第二阶段审核：验证组织管理体系的建立、实施运行的符合性及有效性，以确定是否推荐认证注册。</w:t>
            </w:r>
          </w:p>
          <w:p>
            <w:pPr>
              <w:pStyle w:val="8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highlight w:val="none"/>
                <w:lang w:val="en-US" w:eastAsia="zh-CN" w:bidi="ar-SA"/>
              </w:rPr>
              <w:t>☑监督审核：评价组织管理体系的持续符合性和有效性，以确定是否推荐保持认证证书。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  <w:highlight w:val="none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F：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位于江苏省南京市溧水区石湫街道雨山路1号石湫街道办事处</w:t>
            </w:r>
            <w:r>
              <w:rPr>
                <w:sz w:val="21"/>
                <w:szCs w:val="21"/>
              </w:rPr>
              <w:t>内的食堂的餐饮管理服务（热食类食品制售）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</w:t>
            </w:r>
            <w:bookmarkEnd w:id="18"/>
            <w:r>
              <w:rPr>
                <w:rFonts w:hint="eastAsia"/>
                <w:sz w:val="21"/>
                <w:szCs w:val="21"/>
                <w:lang w:val="en-US" w:eastAsia="zh-CN"/>
              </w:rPr>
              <w:t>位于江苏省南京市溧水区石湫街道雨山路1号石湫街道办事处</w:t>
            </w:r>
            <w:r>
              <w:rPr>
                <w:sz w:val="21"/>
                <w:szCs w:val="21"/>
              </w:rPr>
              <w:t>内的食堂的餐饮管理服务（热食类食品制售）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F：E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A/0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highlight w:val="none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  <w:highlight w:val="none"/>
              </w:rPr>
              <w:t>2021年11月28日 上午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8:30</w:t>
            </w:r>
            <w:r>
              <w:rPr>
                <w:rFonts w:hint="eastAsia"/>
                <w:b/>
                <w:sz w:val="20"/>
                <w:highlight w:val="none"/>
              </w:rPr>
              <w:t>至2021年11月30日 下午</w:t>
            </w:r>
            <w:bookmarkEnd w:id="27"/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16:30</w:t>
            </w:r>
            <w:r>
              <w:rPr>
                <w:rFonts w:hint="eastAsia"/>
                <w:b/>
                <w:sz w:val="20"/>
                <w:highlight w:val="none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  <w:highlight w:val="none"/>
              </w:rPr>
              <w:t>3.0</w:t>
            </w:r>
            <w:bookmarkEnd w:id="28"/>
            <w:r>
              <w:rPr>
                <w:rFonts w:hint="eastAsia"/>
                <w:b/>
                <w:sz w:val="20"/>
                <w:highlight w:val="none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bookmarkStart w:id="29" w:name="_GoBack" w:colFirst="0" w:colLast="0"/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1282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2021-N0FSMS-1237169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培训证书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13336722672</w:t>
            </w:r>
          </w:p>
        </w:tc>
        <w:tc>
          <w:tcPr>
            <w:tcW w:w="1282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bookmark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9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/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97" w:type="dxa"/>
            <w:gridSpan w:val="4"/>
            <w:vAlign w:val="center"/>
          </w:tcPr>
          <w:p/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2021-11-23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8"/>
      </w:pPr>
    </w:p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247"/>
        <w:gridCol w:w="3064"/>
        <w:gridCol w:w="256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6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1-11-28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第一天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81" w:firstLineChars="10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1247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566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</w:t>
            </w:r>
          </w:p>
        </w:tc>
        <w:tc>
          <w:tcPr>
            <w:tcW w:w="1247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3064" w:type="dxa"/>
            <w:shd w:val="clear" w:color="auto" w:fill="auto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总要求、认证范围、过程方法、</w:t>
            </w:r>
            <w:r>
              <w:rPr>
                <w:rFonts w:hint="eastAsia"/>
                <w:sz w:val="18"/>
                <w:szCs w:val="18"/>
              </w:rPr>
              <w:t>内外部因素、相关方及期望、风险和机遇的控制、</w:t>
            </w:r>
            <w:r>
              <w:rPr>
                <w:rFonts w:hint="eastAsia" w:ascii="宋体" w:hAnsi="宋体"/>
                <w:sz w:val="18"/>
                <w:szCs w:val="18"/>
              </w:rPr>
              <w:t>方针和目标，资源管理、领导作用、岗位和职责、目标管理、内外部沟通、持续改进的机制、重大投诉处理、重大体系事故和变更管理、顾客反馈、产品召回、行业抽查情况、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不合格和纠正措施、</w:t>
            </w:r>
            <w:r>
              <w:rPr>
                <w:rFonts w:hint="eastAsia" w:ascii="宋体" w:hAnsi="宋体"/>
                <w:sz w:val="18"/>
                <w:szCs w:val="18"/>
              </w:rPr>
              <w:t>持续改进</w:t>
            </w:r>
            <w:r>
              <w:rPr>
                <w:rFonts w:hint="eastAsia" w:cs="Arial"/>
                <w:bCs/>
                <w:sz w:val="18"/>
                <w:szCs w:val="18"/>
              </w:rPr>
              <w:t>、内部审核、管理评审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/证书使用情况、初审不符合项验证等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FSMS：4.1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hint="eastAsia" w:cs="Arial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hint="eastAsia" w:cs="Arial"/>
                <w:bCs/>
                <w:sz w:val="18"/>
                <w:szCs w:val="18"/>
              </w:rPr>
              <w:t>7.4/9.1.1/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9.2/</w:t>
            </w:r>
            <w:r>
              <w:rPr>
                <w:rFonts w:hint="eastAsia" w:cs="Arial"/>
                <w:bCs/>
                <w:sz w:val="18"/>
                <w:szCs w:val="18"/>
              </w:rPr>
              <w:t>9.3/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10.1/</w:t>
            </w:r>
            <w:r>
              <w:rPr>
                <w:rFonts w:cs="Arial"/>
                <w:bCs/>
                <w:sz w:val="18"/>
                <w:szCs w:val="18"/>
              </w:rPr>
              <w:t>10.2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H:</w:t>
            </w:r>
          </w:p>
          <w:p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4.1/4.2.1/4.2.2/5.1/5.2/5.3/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5.4/</w:t>
            </w:r>
            <w:r>
              <w:rPr>
                <w:sz w:val="18"/>
                <w:szCs w:val="18"/>
              </w:rPr>
              <w:t>5.5及GB14881相关条款内容及1.0要求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</w:t>
            </w:r>
          </w:p>
        </w:tc>
        <w:tc>
          <w:tcPr>
            <w:tcW w:w="1247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064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1247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  <w:t>食品安全小组组长/HACCP</w:t>
            </w:r>
            <w:r>
              <w:rPr>
                <w:rFonts w:hint="eastAsia" w:ascii="宋体" w:hAnsi="宋体"/>
                <w:b/>
                <w:bCs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3064" w:type="dxa"/>
            <w:shd w:val="clear" w:color="auto" w:fill="auto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食品安全/HACCP小组、前提方案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/GMP/SSOP的策划</w:t>
            </w:r>
            <w:r>
              <w:rPr>
                <w:rFonts w:hint="eastAsia" w:ascii="宋体" w:hAnsi="宋体"/>
                <w:sz w:val="18"/>
                <w:szCs w:val="18"/>
              </w:rPr>
              <w:t>、实施危害分析的预备步骤、危害分析</w:t>
            </w:r>
            <w:r>
              <w:rPr>
                <w:rFonts w:hint="eastAsia" w:ascii="宋体" w:hAnsi="宋体" w:cs="宋体"/>
                <w:sz w:val="18"/>
                <w:szCs w:val="18"/>
              </w:rPr>
              <w:t>和制定控制措施</w:t>
            </w:r>
            <w:r>
              <w:rPr>
                <w:rFonts w:hint="eastAsia" w:ascii="宋体" w:hAnsi="宋体"/>
                <w:sz w:val="18"/>
                <w:szCs w:val="18"/>
              </w:rPr>
              <w:t>、操作性前提方案(PRPs)的建立、HACCP计划的建立、预备信息的更新、规定前提方案和HACCP计划文件的更新、验证策划、控制措施组合的确认、食品安全管理体系的验证、</w:t>
            </w:r>
            <w:r>
              <w:rPr>
                <w:rFonts w:hint="eastAsia" w:ascii="宋体" w:hAnsi="宋体" w:cs="宋体"/>
                <w:sz w:val="18"/>
                <w:szCs w:val="18"/>
              </w:rPr>
              <w:t>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记录的保持、食品欺诈和过敏原控制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食品安全管理体系更新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hint="eastAsia" w:cs="Arial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8.1/8.2/8.5/8.6/8.8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/10.3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H:6.1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6.3/6.4/</w:t>
            </w:r>
            <w:r>
              <w:rPr>
                <w:sz w:val="18"/>
                <w:szCs w:val="18"/>
              </w:rPr>
              <w:t>7.1-7.9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GB14881:</w:t>
            </w:r>
            <w:r>
              <w:rPr>
                <w:sz w:val="18"/>
                <w:szCs w:val="18"/>
              </w:rPr>
              <w:t>3/4/5/6/8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9/11/13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第一天审核结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束</w:t>
            </w:r>
          </w:p>
        </w:tc>
        <w:tc>
          <w:tcPr>
            <w:tcW w:w="2566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979" w:type="dxa"/>
            <w:vMerge w:val="restart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1-11-29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第二天</w:t>
            </w:r>
          </w:p>
        </w:tc>
        <w:tc>
          <w:tcPr>
            <w:tcW w:w="1247" w:type="dxa"/>
            <w:shd w:val="clear" w:color="auto" w:fill="auto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548DD4" w:themeColor="text2" w:themeTint="9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124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餐饮服务</w:t>
            </w:r>
            <w:r>
              <w:rPr>
                <w:rFonts w:hint="eastAsia"/>
                <w:b/>
                <w:bCs/>
                <w:sz w:val="18"/>
                <w:szCs w:val="18"/>
              </w:rPr>
              <w:t>部(含质检）及现场</w:t>
            </w:r>
          </w:p>
        </w:tc>
        <w:tc>
          <w:tcPr>
            <w:tcW w:w="3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目标、职责、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基础设施、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u w:val="none"/>
              </w:rPr>
              <w:t>工作环境</w:t>
            </w:r>
            <w:r>
              <w:rPr>
                <w:rFonts w:hint="eastAsia"/>
                <w:b w:val="0"/>
                <w:bCs/>
                <w:sz w:val="18"/>
                <w:szCs w:val="18"/>
                <w:u w:val="none"/>
              </w:rPr>
              <w:t>控制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GMP</w:t>
            </w:r>
            <w:r>
              <w:rPr>
                <w:rFonts w:hint="eastAsia" w:cs="Arial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SSOP</w:t>
            </w:r>
            <w:r>
              <w:rPr>
                <w:rFonts w:hint="eastAsia" w:cs="Arial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 w:val="0"/>
                <w:bCs/>
                <w:sz w:val="18"/>
                <w:szCs w:val="18"/>
                <w:lang w:val="en-US" w:eastAsia="zh-CN"/>
              </w:rPr>
              <w:t>PRP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的现场情况、</w:t>
            </w:r>
            <w:r>
              <w:rPr>
                <w:rFonts w:hint="eastAsia" w:cs="Arial"/>
                <w:b w:val="0"/>
                <w:bCs/>
                <w:sz w:val="18"/>
                <w:szCs w:val="18"/>
                <w:lang w:val="en-US" w:eastAsia="zh-CN"/>
              </w:rPr>
              <w:t>维护保养计划、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可追溯性系统、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lang w:val="en-US" w:eastAsia="zh-CN"/>
              </w:rPr>
              <w:t>应急准备和响应、标识和追溯计划、产品召回计划、应急预案、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关键控制点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lang w:val="en-US" w:eastAsia="zh-CN"/>
              </w:rPr>
              <w:t>/CCP点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的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、潜在不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lang w:val="en-US" w:eastAsia="zh-CN"/>
              </w:rPr>
              <w:t>合格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品控制、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原材料和包装材料保障计划的现场情况、产品防护计划、食品欺诈和过敏原控制、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食品添加剂管理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适用时）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5.3/6.2/7.1.3/7.1.4/8.2/8.3/8.4/8.5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.4.5</w:t>
            </w:r>
            <w:r>
              <w:rPr>
                <w:kern w:val="0"/>
                <w:sz w:val="18"/>
                <w:szCs w:val="18"/>
              </w:rPr>
              <w:t>/8.7/8.9.1-8.9.4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6.8/</w:t>
            </w:r>
            <w:r>
              <w:rPr>
                <w:sz w:val="18"/>
                <w:szCs w:val="18"/>
              </w:rPr>
              <w:t>7.6/7.8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12:30</w:t>
            </w:r>
          </w:p>
        </w:tc>
        <w:tc>
          <w:tcPr>
            <w:tcW w:w="1247" w:type="dxa"/>
            <w:shd w:val="clear" w:color="auto" w:fill="auto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>
            <w:pPr>
              <w:spacing w:after="4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548DD4" w:themeColor="text2" w:themeTint="9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124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餐饮服务</w:t>
            </w:r>
            <w:r>
              <w:rPr>
                <w:rFonts w:hint="eastAsia"/>
                <w:b/>
                <w:bCs/>
                <w:sz w:val="18"/>
                <w:szCs w:val="18"/>
              </w:rPr>
              <w:t>部(含质检）及现场</w:t>
            </w:r>
          </w:p>
        </w:tc>
        <w:tc>
          <w:tcPr>
            <w:tcW w:w="3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目标、职责、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基础设施、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u w:val="none"/>
              </w:rPr>
              <w:t>工作环境</w:t>
            </w:r>
            <w:r>
              <w:rPr>
                <w:rFonts w:hint="eastAsia"/>
                <w:b w:val="0"/>
                <w:bCs/>
                <w:sz w:val="18"/>
                <w:szCs w:val="18"/>
                <w:u w:val="none"/>
              </w:rPr>
              <w:t>控制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GMP</w:t>
            </w:r>
            <w:r>
              <w:rPr>
                <w:rFonts w:hint="eastAsia" w:cs="Arial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SSOP</w:t>
            </w:r>
            <w:r>
              <w:rPr>
                <w:rFonts w:hint="eastAsia" w:cs="Arial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 w:val="0"/>
                <w:bCs/>
                <w:sz w:val="18"/>
                <w:szCs w:val="18"/>
                <w:lang w:val="en-US" w:eastAsia="zh-CN"/>
              </w:rPr>
              <w:t>PRP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的现场情况、</w:t>
            </w:r>
            <w:r>
              <w:rPr>
                <w:rFonts w:hint="eastAsia" w:cs="Arial"/>
                <w:b w:val="0"/>
                <w:bCs/>
                <w:sz w:val="18"/>
                <w:szCs w:val="18"/>
                <w:lang w:val="en-US" w:eastAsia="zh-CN"/>
              </w:rPr>
              <w:t>维护保养计划、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可追溯性系统、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lang w:val="en-US" w:eastAsia="zh-CN"/>
              </w:rPr>
              <w:t>应急准备和响应、标识和追溯计划、产品召回计划、应急预案、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关键控制点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lang w:val="en-US" w:eastAsia="zh-CN"/>
              </w:rPr>
              <w:t>/CCP点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的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、潜在不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lang w:val="en-US" w:eastAsia="zh-CN"/>
              </w:rPr>
              <w:t>合格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品控制、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原材料和包装材料保障计划的现场情况、产品防护计划、食品欺诈和过敏原控制、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食品添加剂管理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适用时）——继续审核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5.3/6.2/7.1.3/7.1.4/8.2/8.3/8.4/8.5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.4.5</w:t>
            </w:r>
            <w:r>
              <w:rPr>
                <w:kern w:val="0"/>
                <w:sz w:val="18"/>
                <w:szCs w:val="18"/>
              </w:rPr>
              <w:t>/8.7/8.9.1-8.9.4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6.8/</w:t>
            </w:r>
            <w:r>
              <w:rPr>
                <w:sz w:val="18"/>
                <w:szCs w:val="18"/>
              </w:rPr>
              <w:t>7.6/7.8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124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  <w:p>
            <w:pPr>
              <w:spacing w:line="300" w:lineRule="exact"/>
              <w:rPr>
                <w:rFonts w:hint="eastAsia" w:ascii="宋体" w:hAnsi="宋体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/>
                <w:sz w:val="18"/>
                <w:szCs w:val="18"/>
              </w:rPr>
              <w:t>天审核结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束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2021-11-30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第三天</w:t>
            </w:r>
          </w:p>
        </w:tc>
        <w:tc>
          <w:tcPr>
            <w:tcW w:w="1247" w:type="dxa"/>
            <w:shd w:val="clear" w:color="auto" w:fill="auto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  <w:lang w:val="en-US" w:eastAsia="zh-CN"/>
              </w:rPr>
              <w:t>7:55</w:t>
            </w:r>
          </w:p>
        </w:tc>
        <w:tc>
          <w:tcPr>
            <w:tcW w:w="1247" w:type="dxa"/>
            <w:shd w:val="clear" w:color="auto" w:fill="auto"/>
          </w:tcPr>
          <w:p>
            <w:pPr>
              <w:spacing w:line="300" w:lineRule="exact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2566" w:type="dxa"/>
            <w:shd w:val="clear" w:color="auto" w:fill="auto"/>
          </w:tcPr>
          <w:p>
            <w:pPr>
              <w:spacing w:line="300" w:lineRule="exact"/>
              <w:rPr>
                <w:color w:val="0000FF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8:00</w:t>
            </w:r>
          </w:p>
        </w:tc>
        <w:tc>
          <w:tcPr>
            <w:tcW w:w="124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餐饮服务</w:t>
            </w:r>
            <w:r>
              <w:rPr>
                <w:rFonts w:hint="eastAsia"/>
                <w:b/>
                <w:bCs/>
                <w:sz w:val="18"/>
                <w:szCs w:val="18"/>
              </w:rPr>
              <w:t>部(含质检）及现场</w:t>
            </w:r>
          </w:p>
        </w:tc>
        <w:tc>
          <w:tcPr>
            <w:tcW w:w="3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目标、职责、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基础设施、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u w:val="none"/>
              </w:rPr>
              <w:t>工作环境</w:t>
            </w:r>
            <w:r>
              <w:rPr>
                <w:rFonts w:hint="eastAsia"/>
                <w:b w:val="0"/>
                <w:bCs/>
                <w:sz w:val="18"/>
                <w:szCs w:val="18"/>
                <w:u w:val="none"/>
              </w:rPr>
              <w:t>控制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GMP</w:t>
            </w:r>
            <w:r>
              <w:rPr>
                <w:rFonts w:hint="eastAsia" w:cs="Arial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SSOP</w:t>
            </w:r>
            <w:r>
              <w:rPr>
                <w:rFonts w:hint="eastAsia" w:cs="Arial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 w:val="0"/>
                <w:bCs/>
                <w:sz w:val="18"/>
                <w:szCs w:val="18"/>
                <w:lang w:val="en-US" w:eastAsia="zh-CN"/>
              </w:rPr>
              <w:t>PRP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的现场情况、</w:t>
            </w:r>
            <w:r>
              <w:rPr>
                <w:rFonts w:hint="eastAsia" w:cs="Arial"/>
                <w:b w:val="0"/>
                <w:bCs/>
                <w:sz w:val="18"/>
                <w:szCs w:val="18"/>
                <w:lang w:val="en-US" w:eastAsia="zh-CN"/>
              </w:rPr>
              <w:t>维护保养计划、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可追溯性系统、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lang w:val="en-US" w:eastAsia="zh-CN"/>
              </w:rPr>
              <w:t>应急准备和响应、标识和追溯计划、产品召回计划、应急预案、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关键控制点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lang w:val="en-US" w:eastAsia="zh-CN"/>
              </w:rPr>
              <w:t>/CCP点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的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、潜在不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lang w:val="en-US" w:eastAsia="zh-CN"/>
              </w:rPr>
              <w:t>合格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品控制、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原材料和包装材料保障计划的现场情况、产品防护计划、食品欺诈和过敏原控制、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食品添加剂管理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适用时）_继续审核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kern w:val="0"/>
                <w:sz w:val="18"/>
                <w:szCs w:val="18"/>
              </w:rPr>
              <w:t>5.3/6.2/7.1.3/7.1.4/8.2/8.3/8.4/8.5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.4.5</w:t>
            </w:r>
            <w:r>
              <w:rPr>
                <w:kern w:val="0"/>
                <w:sz w:val="18"/>
                <w:szCs w:val="18"/>
              </w:rPr>
              <w:t>/8.7/8.9.1-8.9.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6.8/</w:t>
            </w:r>
            <w:r>
              <w:rPr>
                <w:sz w:val="18"/>
                <w:szCs w:val="18"/>
              </w:rPr>
              <w:t>7.6/7.8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  <w:lang w:val="en-US" w:eastAsia="zh-CN"/>
              </w:rPr>
              <w:t>10:00</w:t>
            </w:r>
          </w:p>
        </w:tc>
        <w:tc>
          <w:tcPr>
            <w:tcW w:w="1247" w:type="dxa"/>
            <w:shd w:val="clear" w:color="auto" w:fill="auto"/>
            <w:vAlign w:val="top"/>
          </w:tcPr>
          <w:p>
            <w:pPr>
              <w:spacing w:after="40"/>
              <w:rPr>
                <w:rFonts w:hint="eastAsia" w:ascii="宋体" w:hAnsi="宋体" w:eastAsia="宋体" w:cs="Times New Roman"/>
                <w:b/>
                <w:bCs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pacing w:val="40"/>
                <w:kern w:val="10"/>
                <w:sz w:val="18"/>
                <w:szCs w:val="18"/>
              </w:rPr>
              <w:t>综合部</w:t>
            </w:r>
          </w:p>
        </w:tc>
        <w:tc>
          <w:tcPr>
            <w:tcW w:w="3064" w:type="dxa"/>
            <w:shd w:val="clear" w:color="auto" w:fill="auto"/>
            <w:vAlign w:val="top"/>
          </w:tcPr>
          <w:p>
            <w:pPr>
              <w:spacing w:after="4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岗位职责/权限、文件和记录管理、</w:t>
            </w:r>
            <w:r>
              <w:rPr>
                <w:rFonts w:hint="eastAsia" w:ascii="宋体" w:hAnsi="宋体"/>
                <w:sz w:val="18"/>
                <w:szCs w:val="18"/>
              </w:rPr>
              <w:t>目标管理、内外部沟通、</w:t>
            </w:r>
            <w:r>
              <w:rPr>
                <w:rFonts w:hint="eastAsia" w:cs="Arial"/>
                <w:bCs/>
                <w:sz w:val="18"/>
                <w:szCs w:val="18"/>
              </w:rPr>
              <w:t>人员健康管理、持证上岗人员、人员招聘、员工培训及有效性评价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分析和评估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hint="eastAsia" w:cs="Arial"/>
                <w:bCs/>
                <w:sz w:val="18"/>
                <w:szCs w:val="18"/>
              </w:rPr>
              <w:t>：5.3/6.2/7.1.2/7.2/7.3/7.4/7.5/</w:t>
            </w:r>
            <w:r>
              <w:rPr>
                <w:rFonts w:cs="Arial"/>
                <w:bCs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>1.2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H:4.2.3/4.2.4/5.2/5.3/6.2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GB14881:6.3/12/13/14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12:30</w:t>
            </w:r>
          </w:p>
        </w:tc>
        <w:tc>
          <w:tcPr>
            <w:tcW w:w="1247" w:type="dxa"/>
            <w:shd w:val="clear" w:color="auto" w:fill="auto"/>
            <w:vAlign w:val="top"/>
          </w:tcPr>
          <w:p>
            <w:pPr>
              <w:spacing w:after="40"/>
              <w:rPr>
                <w:rFonts w:hint="eastAsia" w:ascii="宋体" w:hAnsi="宋体" w:eastAsia="宋体" w:cs="Times New Roman"/>
                <w:b/>
                <w:bCs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64" w:type="dxa"/>
            <w:shd w:val="clear" w:color="auto" w:fill="auto"/>
            <w:vAlign w:val="top"/>
          </w:tcPr>
          <w:p>
            <w:pPr>
              <w:spacing w:after="4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124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3064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（采购管理、仓库管理）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目标、职责、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危害控制计划的实施/GMP的实施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外部提供的过程、产品或服务控制、原材料和包装材料保障计划、食品欺诈和过敏原控制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.3/6.2/</w:t>
            </w:r>
            <w:r>
              <w:rPr>
                <w:rFonts w:cs="Arial"/>
                <w:sz w:val="18"/>
                <w:szCs w:val="18"/>
              </w:rPr>
              <w:t>7.1.6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H: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5.2/5.3.1/</w:t>
            </w:r>
            <w:r>
              <w:rPr>
                <w:sz w:val="18"/>
                <w:szCs w:val="18"/>
              </w:rPr>
              <w:t>6.5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B14881:7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bCs/>
                <w:sz w:val="18"/>
                <w:szCs w:val="18"/>
              </w:rPr>
              <w:t>HACCP</w:t>
            </w:r>
            <w:r>
              <w:rPr>
                <w:rFonts w:hint="eastAsia" w:cs="Arial"/>
                <w:bCs/>
                <w:sz w:val="18"/>
                <w:szCs w:val="18"/>
              </w:rPr>
              <w:t>1.0要求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15:30</w:t>
            </w:r>
          </w:p>
        </w:tc>
        <w:tc>
          <w:tcPr>
            <w:tcW w:w="124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与</w:t>
            </w:r>
            <w:r>
              <w:rPr>
                <w:rFonts w:hint="eastAsia"/>
                <w:sz w:val="18"/>
                <w:szCs w:val="18"/>
              </w:rPr>
              <w:t>管理者代表</w:t>
            </w:r>
            <w:r>
              <w:rPr>
                <w:sz w:val="18"/>
                <w:szCs w:val="18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6:00</w:t>
            </w:r>
          </w:p>
        </w:tc>
        <w:tc>
          <w:tcPr>
            <w:tcW w:w="124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末次会议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/>
    <w:p>
      <w:pPr>
        <w:pStyle w:val="8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AB72D0"/>
    <w:rsid w:val="2DCE32D9"/>
    <w:rsid w:val="307451CB"/>
    <w:rsid w:val="34FC66BE"/>
    <w:rsid w:val="463E4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2021-11-29T08:52:17Z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