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0642-2019-QO-2021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九江杜威橡胶科技有限公司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Q:ISC-Q-2020-0723,O:ISC-O-2020-0447,E:ISC-E-2021-0846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91360430MA365MTMXA</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Q:60,O:60,E:60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九江杜威橡胶科技有限公司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Q：丙烯酸酯橡胶的生产</w:t>
            </w:r>
          </w:p>
          <w:p>
            <w:pPr>
              <w:snapToGrid w:val="0"/>
              <w:spacing w:line="0" w:lineRule="atLeast"/>
              <w:jc w:val="left"/>
              <w:rPr>
                <w:sz w:val="22"/>
                <w:szCs w:val="22"/>
              </w:rPr>
            </w:pPr>
            <w:r>
              <w:rPr>
                <w:sz w:val="22"/>
                <w:szCs w:val="22"/>
              </w:rPr>
              <w:t>O：丙烯酸酯橡胶的生产及其所涉及的职业健康安全管理活动</w:t>
            </w:r>
          </w:p>
          <w:p>
            <w:pPr>
              <w:snapToGrid w:val="0"/>
              <w:spacing w:line="0" w:lineRule="atLeast"/>
              <w:jc w:val="left"/>
              <w:rPr>
                <w:sz w:val="22"/>
                <w:szCs w:val="22"/>
              </w:rPr>
            </w:pPr>
            <w:r>
              <w:rPr>
                <w:sz w:val="22"/>
                <w:szCs w:val="22"/>
              </w:rPr>
              <w:t>E：丙烯酸酯橡胶的生产所涉及的环境管理</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江西省九江市彭泽县矶山工业园</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江西省九江市彭泽县矶山工业园</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E112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2021-12-12T00:40:40Z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