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009"/>
        <w:gridCol w:w="948"/>
        <w:gridCol w:w="1416"/>
        <w:gridCol w:w="86"/>
        <w:gridCol w:w="1004"/>
        <w:gridCol w:w="934"/>
        <w:gridCol w:w="603"/>
        <w:gridCol w:w="415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甘肃普尔曼能源设备制造有限公司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甘肃省定西市安定区循环经济产业园区新城大道9-8号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尚彦新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17609329607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369006476@qq.com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常录旦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1231-2021-Q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3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38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8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0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环形混凝土电杆的生产和销售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16.02.01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GPNS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-QM-01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-2018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8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2021年11月23日 上午至2021年11月23日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3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远程审核于2021年11月23日 上午至2021年11月23日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8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2019-N1QMS-2102147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18693165224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3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3" w:type="dxa"/>
            <w:vAlign w:val="center"/>
          </w:tcPr>
          <w:p/>
        </w:tc>
        <w:tc>
          <w:tcPr>
            <w:tcW w:w="10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3" w:type="dxa"/>
            <w:vAlign w:val="center"/>
          </w:tcPr>
          <w:p/>
        </w:tc>
        <w:tc>
          <w:tcPr>
            <w:tcW w:w="10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Align w:val="center"/>
          </w:tcPr>
          <w:p/>
        </w:tc>
        <w:tc>
          <w:tcPr>
            <w:tcW w:w="1458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96"/>
        <w:gridCol w:w="117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首次会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.1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10.3、重大质量事故、相关方重大投诉、资质验证、标准法规执行情况、顾客投诉、上次审核不符合项验证、证书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标志使用情况、监督抽查情况、体系变动等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10:00-12:30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5.3、6.2、7.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.3、7.1.4、7.</w:t>
            </w:r>
            <w:r>
              <w:rPr>
                <w:rFonts w:ascii="宋体" w:hAnsi="宋体"/>
                <w:b w:val="0"/>
                <w:bCs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.5、8.1、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8.5、8.6、8.7、10.2、8.3不适用确认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7.5.2、7.5.3、8.1、8.2、8.4、8.5、8.6、8.7、9.1.2、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、10.2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政府有关部门的监督抽查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12:30-13:30</w:t>
            </w:r>
          </w:p>
        </w:tc>
        <w:tc>
          <w:tcPr>
            <w:tcW w:w="777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生产</w:t>
            </w:r>
          </w:p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技术部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检验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</w:rPr>
              <w:t>有关的资料运行控制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lang w:eastAsia="zh-CN"/>
              </w:rPr>
              <w:t>管理部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层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与管理层沟通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各部门</w:t>
            </w:r>
          </w:p>
        </w:tc>
        <w:tc>
          <w:tcPr>
            <w:tcW w:w="2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末次会议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bookmarkStart w:id="32" w:name="_GoBack"/>
      <w:bookmarkEnd w:id="32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658CD"/>
    <w:rsid w:val="2D87505F"/>
    <w:rsid w:val="6A2C1441"/>
    <w:rsid w:val="70520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2021-11-23T04:23:40Z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