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78"/>
        <w:gridCol w:w="495"/>
        <w:gridCol w:w="310"/>
        <w:gridCol w:w="804"/>
        <w:gridCol w:w="1368"/>
        <w:gridCol w:w="533"/>
        <w:gridCol w:w="638"/>
        <w:gridCol w:w="184"/>
        <w:gridCol w:w="771"/>
        <w:gridCol w:w="64"/>
        <w:gridCol w:w="236"/>
        <w:gridCol w:w="590"/>
        <w:gridCol w:w="488"/>
        <w:gridCol w:w="713"/>
        <w:gridCol w:w="618"/>
        <w:gridCol w:w="110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贵州申鑫玻璃制品有限公司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贵州省遵义市赤水市天台镇高新产业园11号厂房内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贵州省遵义市赤水市天台镇高新产业园11号厂房内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1229-2021-QEO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尤国康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18084218188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管理者代表"/>
            <w:r>
              <w:rPr>
                <w:sz w:val="21"/>
                <w:szCs w:val="21"/>
              </w:rPr>
              <w:t>张强宝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Q:一阶段非现场,E:一阶段非现场,O:一阶段非现场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Q：玻璃酒瓶的销售</w:t>
            </w:r>
          </w:p>
          <w:p>
            <w:r>
              <w:t>E：玻璃酒瓶的销售所涉及的相关环境管理活动</w:t>
            </w:r>
          </w:p>
          <w:p>
            <w:r>
              <w:t>O：玻璃酒瓶的销售所涉及的相关职业健康安全管理活动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Q：29.08.04</w:t>
            </w:r>
          </w:p>
          <w:p>
            <w:r>
              <w:t>E：29.08.04</w:t>
            </w:r>
          </w:p>
          <w:p>
            <w:r>
              <w:t>O：29.08.04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现场审核于年月日至年月日，共天</w:t>
            </w:r>
            <w:bookmarkStart w:id="27" w:name="_GoBack"/>
            <w:bookmarkEnd w:id="27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远程审核于2021年11月21日 上午至2021年11月21日 上午，共0.5天。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8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3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1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8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3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101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Q:29.08.04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E:29.08.04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O:29.08.04</w:t>
            </w:r>
          </w:p>
        </w:tc>
        <w:tc>
          <w:tcPr>
            <w:tcW w:w="144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8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3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2020-N1QMS-1265256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2021-N1EMS-1265256</w:t>
            </w:r>
          </w:p>
        </w:tc>
        <w:tc>
          <w:tcPr>
            <w:tcW w:w="101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23" w:type="dxa"/>
            <w:vAlign w:val="center"/>
          </w:tcPr>
          <w:p/>
        </w:tc>
        <w:tc>
          <w:tcPr>
            <w:tcW w:w="883" w:type="dxa"/>
            <w:gridSpan w:val="3"/>
            <w:vAlign w:val="center"/>
          </w:tcPr>
          <w:p/>
        </w:tc>
        <w:tc>
          <w:tcPr>
            <w:tcW w:w="804" w:type="dxa"/>
            <w:vAlign w:val="center"/>
          </w:tcPr>
          <w:p/>
        </w:tc>
        <w:tc>
          <w:tcPr>
            <w:tcW w:w="2539" w:type="dxa"/>
            <w:gridSpan w:val="3"/>
            <w:vAlign w:val="center"/>
          </w:tcPr>
          <w:p/>
        </w:tc>
        <w:tc>
          <w:tcPr>
            <w:tcW w:w="1019" w:type="dxa"/>
            <w:gridSpan w:val="3"/>
            <w:vAlign w:val="center"/>
          </w:tcPr>
          <w:p/>
        </w:tc>
        <w:tc>
          <w:tcPr>
            <w:tcW w:w="1314" w:type="dxa"/>
            <w:gridSpan w:val="3"/>
            <w:vAlign w:val="center"/>
          </w:tcPr>
          <w:p/>
        </w:tc>
        <w:tc>
          <w:tcPr>
            <w:tcW w:w="1441" w:type="dxa"/>
            <w:gridSpan w:val="3"/>
            <w:vAlign w:val="center"/>
          </w:tcPr>
          <w:p/>
        </w:tc>
        <w:tc>
          <w:tcPr>
            <w:tcW w:w="110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3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83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0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901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65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314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1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103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3" w:type="dxa"/>
            <w:vAlign w:val="center"/>
          </w:tcPr>
          <w:p/>
        </w:tc>
        <w:tc>
          <w:tcPr>
            <w:tcW w:w="883" w:type="dxa"/>
            <w:gridSpan w:val="3"/>
            <w:vAlign w:val="center"/>
          </w:tcPr>
          <w:p/>
        </w:tc>
        <w:tc>
          <w:tcPr>
            <w:tcW w:w="804" w:type="dxa"/>
            <w:vAlign w:val="center"/>
          </w:tcPr>
          <w:p/>
        </w:tc>
        <w:tc>
          <w:tcPr>
            <w:tcW w:w="1901" w:type="dxa"/>
            <w:gridSpan w:val="2"/>
            <w:vAlign w:val="center"/>
          </w:tcPr>
          <w:p/>
        </w:tc>
        <w:tc>
          <w:tcPr>
            <w:tcW w:w="1657" w:type="dxa"/>
            <w:gridSpan w:val="4"/>
            <w:vAlign w:val="center"/>
          </w:tcPr>
          <w:p/>
        </w:tc>
        <w:tc>
          <w:tcPr>
            <w:tcW w:w="1314" w:type="dxa"/>
            <w:gridSpan w:val="3"/>
            <w:vAlign w:val="center"/>
          </w:tcPr>
          <w:p/>
        </w:tc>
        <w:tc>
          <w:tcPr>
            <w:tcW w:w="1441" w:type="dxa"/>
            <w:gridSpan w:val="3"/>
            <w:vAlign w:val="center"/>
          </w:tcPr>
          <w:p/>
        </w:tc>
        <w:tc>
          <w:tcPr>
            <w:tcW w:w="110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317500</wp:posOffset>
                  </wp:positionH>
                  <wp:positionV relativeFrom="paragraph">
                    <wp:posOffset>45720</wp:posOffset>
                  </wp:positionV>
                  <wp:extent cx="600075" cy="302895"/>
                  <wp:effectExtent l="0" t="0" r="9525" b="1905"/>
                  <wp:wrapNone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30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18983000183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2021年11月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2021年11月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08:30-09:00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原件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和复</w:t>
            </w:r>
            <w:r>
              <w:rPr>
                <w:rFonts w:hint="eastAsia"/>
                <w:sz w:val="21"/>
                <w:szCs w:val="21"/>
              </w:rPr>
              <w:t>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21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09：00-12：00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09：00-12：00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查看环境因素的识别和评价程序合理性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-了解适用的环境法律和其他要求的获取、识别程序实施情况和合规性评价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-了解危险废弃物的处置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-查看危险源的辨识和评价程序合理性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-了解重要危险源的辨识和控制措施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了解适用的职业健康安全法律和其他要求的获取、识别程序实施情况和合规性评价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-查看合规性证明（安全评估、职业病评估、作业场所监测、）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-了解三级安全教育的实施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-了解职业病体检的情况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7C62B3"/>
    <w:rsid w:val="29DB4C61"/>
    <w:rsid w:val="3E97229C"/>
    <w:rsid w:val="614464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</TotalTime>
  <ScaleCrop>false</ScaleCrop>
  <LinksUpToDate>false</LinksUpToDate>
  <CharactersWithSpaces>3682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小冉</cp:lastModifiedBy>
  <cp:lastPrinted>2019-03-27T03:10:00Z</cp:lastPrinted>
  <dcterms:modified xsi:type="dcterms:W3CDTF">2021-11-20T09:17:25Z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2052-11.1.0.11045</vt:lpwstr>
  </property>
</Properties>
</file>