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1213-2021-EO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福建春江消防有限公司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福建春江消防有限公司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福建省泉州市南安市英都镇恒阪阀门基地</w:t>
            </w:r>
            <w:bookmarkEnd w:id="6"/>
          </w:p>
        </w:tc>
        <w:tc>
          <w:tcPr>
            <w:tcW w:w="1242" w:type="dxa"/>
            <w:vMerge w:val="restart"/>
            <w:vAlign w:val="center"/>
          </w:tcPr>
          <w:p>
            <w:r>
              <w:rPr>
                <w:rFonts w:hint="eastAsia"/>
              </w:rPr>
              <w:t>邮编</w:t>
            </w:r>
          </w:p>
        </w:tc>
        <w:tc>
          <w:tcPr>
            <w:tcW w:w="1771" w:type="dxa"/>
          </w:tcPr>
          <w:p>
            <w:bookmarkStart w:id="7" w:name="注册邮编"/>
            <w:r>
              <w:t>362305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福建省泉州市南安市英都镇恒阪阀门基地</w:t>
            </w:r>
            <w:bookmarkEnd w:id="8"/>
          </w:p>
        </w:tc>
        <w:tc>
          <w:tcPr>
            <w:tcW w:w="1242" w:type="dxa"/>
            <w:vMerge w:val="continue"/>
            <w:vAlign w:val="center"/>
          </w:tcPr>
          <w:p/>
        </w:tc>
        <w:tc>
          <w:tcPr>
            <w:tcW w:w="1771" w:type="dxa"/>
          </w:tcPr>
          <w:p>
            <w:bookmarkStart w:id="9" w:name="办公邮编"/>
            <w:r>
              <w:t>362305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洪炳昆</w:t>
            </w:r>
            <w:bookmarkEnd w:id="10"/>
          </w:p>
        </w:tc>
        <w:tc>
          <w:tcPr>
            <w:tcW w:w="1313" w:type="dxa"/>
            <w:vAlign w:val="center"/>
          </w:tcPr>
          <w:p>
            <w:r>
              <w:rPr>
                <w:rFonts w:hint="eastAsia"/>
              </w:rPr>
              <w:t>电话.</w:t>
            </w:r>
          </w:p>
        </w:tc>
        <w:tc>
          <w:tcPr>
            <w:tcW w:w="2180" w:type="dxa"/>
            <w:vAlign w:val="center"/>
          </w:tcPr>
          <w:p>
            <w:bookmarkStart w:id="11" w:name="联系人电话"/>
            <w:r>
              <w:t>13136235977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洪炳昆</w:t>
            </w:r>
            <w:bookmarkEnd w:id="13"/>
          </w:p>
        </w:tc>
        <w:tc>
          <w:tcPr>
            <w:tcW w:w="1313" w:type="dxa"/>
            <w:vAlign w:val="center"/>
          </w:tcPr>
          <w:p>
            <w:r>
              <w:rPr>
                <w:rFonts w:hint="eastAsia"/>
              </w:rPr>
              <w:t>管理者代表</w:t>
            </w:r>
          </w:p>
        </w:tc>
        <w:tc>
          <w:tcPr>
            <w:tcW w:w="2180" w:type="dxa"/>
          </w:tcPr>
          <w:p>
            <w:bookmarkStart w:id="14" w:name="管理者代表"/>
            <w:r>
              <w:t>洪文明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color w:val="000000"/>
                <w:szCs w:val="18"/>
              </w:rPr>
            </w:pPr>
            <w:r>
              <w:rPr>
                <w:rFonts w:hint="eastAsia" w:ascii="宋体" w:hAnsi="宋体"/>
                <w:szCs w:val="21"/>
              </w:rPr>
              <w:t>接订单—&gt;合同评审—&gt;签订合同—&gt;组织货源—&gt;验货—&gt;发货—&gt;售后服务</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2021年11月26日 上午至2021年11月26日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福建省泉州市南安市英都镇恒阪阀门基地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E：弹性座封闸阀的销售所涉及场所的相关环境管理活动</w:t>
            </w:r>
          </w:p>
          <w:p>
            <w:r>
              <w:t>O：弹性座封闸阀的销售所涉及场所的相关职业健康安全管理活动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E：29.10.07</w:t>
            </w:r>
          </w:p>
          <w:p>
            <w:r>
              <w:t>O：29.10.07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福建春江消防有限公司</w:t>
            </w:r>
            <w:r>
              <w:rPr>
                <w:rFonts w:hint="eastAsia"/>
                <w:sz w:val="21"/>
                <w:szCs w:val="21"/>
                <w:lang w:val="en-US" w:eastAsia="zh-CN"/>
              </w:rPr>
              <w:t>/</w:t>
            </w:r>
            <w:r>
              <w:rPr>
                <w:sz w:val="21"/>
                <w:szCs w:val="21"/>
              </w:rPr>
              <w:t>福建省泉州市南安市英都镇恒阪阀门基地</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福建省泉州市南安市英都镇恒阪阀门基地</w:t>
            </w:r>
          </w:p>
        </w:tc>
        <w:tc>
          <w:tcPr>
            <w:tcW w:w="571" w:type="dxa"/>
            <w:vAlign w:val="center"/>
          </w:tcPr>
          <w:p>
            <w:pPr>
              <w:spacing w:before="40" w:after="40"/>
              <w:rPr>
                <w:rFonts w:hint="eastAsia" w:ascii="Times New Roman" w:hAnsi="Times New Roman" w:eastAsia="黑体" w:cs="Times New Roman"/>
                <w:kern w:val="2"/>
                <w:sz w:val="21"/>
                <w:szCs w:val="21"/>
                <w:lang w:val="en-US" w:eastAsia="ja-JP" w:bidi="ar-SA"/>
              </w:rPr>
            </w:pPr>
            <w:r>
              <w:rPr>
                <w:rFonts w:hint="eastAsia" w:eastAsia="黑体"/>
                <w:szCs w:val="21"/>
                <w:lang w:val="en-US" w:eastAsia="zh-CN"/>
              </w:rPr>
              <w:t>5</w:t>
            </w:r>
          </w:p>
        </w:tc>
        <w:tc>
          <w:tcPr>
            <w:tcW w:w="2803" w:type="dxa"/>
            <w:vAlign w:val="center"/>
          </w:tcPr>
          <w:p>
            <w:r>
              <w:t>E：弹性座封闸阀的销售所涉及场所的相关环境管理活动</w:t>
            </w:r>
          </w:p>
          <w:p>
            <w:pPr>
              <w:pStyle w:val="21"/>
              <w:rPr>
                <w:rFonts w:ascii="Times New Roman" w:hAnsi="Times New Roman" w:eastAsia="黑体" w:cs="Arial"/>
                <w:kern w:val="2"/>
                <w:sz w:val="21"/>
                <w:szCs w:val="21"/>
                <w:lang w:val="en-US" w:eastAsia="ja-JP" w:bidi="ar-SA"/>
              </w:rPr>
            </w:pPr>
            <w:r>
              <w:t>O：弹性座封闸阀的销售所涉及场所的相关职业健康安全管理活动</w:t>
            </w:r>
          </w:p>
        </w:tc>
        <w:tc>
          <w:tcPr>
            <w:tcW w:w="669" w:type="dxa"/>
            <w:vAlign w:val="center"/>
          </w:tcPr>
          <w:p>
            <w:pPr>
              <w:spacing w:before="40" w:after="40"/>
            </w:pPr>
            <w:r>
              <w:t>GB/T 24001-2016</w:t>
            </w:r>
          </w:p>
          <w:p>
            <w:pPr>
              <w:pStyle w:val="2"/>
              <w:rPr>
                <w:rFonts w:hint="default" w:ascii="Times New Roman" w:hAnsi="Times New Roman" w:eastAsia="宋体" w:cs="Times New Roman"/>
                <w:bCs/>
                <w:spacing w:val="10"/>
                <w:kern w:val="2"/>
                <w:sz w:val="21"/>
                <w:szCs w:val="24"/>
                <w:lang w:val="en-US" w:eastAsia="ja-JP" w:bidi="ar-SA"/>
              </w:rPr>
            </w:pPr>
            <w:r>
              <w:rPr>
                <w:rFonts w:ascii="宋体" w:hAnsi="宋体" w:cs="宋体"/>
                <w:color w:val="000000"/>
                <w:kern w:val="0"/>
                <w:szCs w:val="21"/>
              </w:rPr>
              <w:t xml:space="preserve">GB/T45001-2020 </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eastAsia="黑体"/>
                    <w:szCs w:val="21"/>
                  </w:rPr>
                  <w:sym w:font="Wingdings 2" w:char="0052"/>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2020-N1EMS-1263375</w:t>
            </w:r>
          </w:p>
          <w:p>
            <w:r>
              <w:t>2021-N1OHSMS-1263375</w:t>
            </w:r>
          </w:p>
        </w:tc>
        <w:tc>
          <w:tcPr>
            <w:tcW w:w="2179" w:type="dxa"/>
            <w:vAlign w:val="center"/>
          </w:tcPr>
          <w:p>
            <w:r>
              <w:t>E:29.10.07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2021-N1EMS-1210533</w:t>
            </w:r>
          </w:p>
          <w:p>
            <w:r>
              <w:t>2021-N1OHSMS-1210533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黄红</w:t>
            </w:r>
          </w:p>
        </w:tc>
        <w:tc>
          <w:tcPr>
            <w:tcW w:w="1089" w:type="dxa"/>
            <w:vAlign w:val="center"/>
          </w:tcPr>
          <w:p>
            <w:r>
              <w:t>组员</w:t>
            </w:r>
          </w:p>
        </w:tc>
        <w:tc>
          <w:tcPr>
            <w:tcW w:w="711" w:type="dxa"/>
            <w:vAlign w:val="center"/>
          </w:tcPr>
          <w:p>
            <w:r>
              <w:t>女</w:t>
            </w:r>
          </w:p>
        </w:tc>
        <w:tc>
          <w:tcPr>
            <w:tcW w:w="3870" w:type="dxa"/>
            <w:vAlign w:val="center"/>
          </w:tcPr>
          <w:p>
            <w:r>
              <w:t>2020-N0EMS-1263785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t>弹性座封闸阀的销售所涉及场所的相关环境管理活动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t>弹性座封闸阀的销售所涉及场所的相关职业健康安全管理活动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default" w:eastAsia="宋体"/>
                <w:lang w:val="en-US" w:eastAsia="zh-CN"/>
              </w:rPr>
            </w:pPr>
            <w:r>
              <w:rPr>
                <w:rFonts w:hint="eastAsia"/>
                <w:lang w:val="en-US" w:eastAsia="zh-CN"/>
              </w:rPr>
              <w:t>强兴</w:t>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2021.11.26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法律法规□技术□竞争□市场□文化□社会□经济环境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w:t>
            </w:r>
            <w:r>
              <w:rPr>
                <w:rFonts w:hint="eastAsia"/>
              </w:rPr>
              <w:sym w:font="Wingdings 2" w:char="0052"/>
            </w:r>
            <w:r>
              <w:rPr>
                <w:rFonts w:hint="eastAsia"/>
              </w:rPr>
              <w:t>人力资源</w:t>
            </w:r>
            <w:r>
              <w:rPr>
                <w:rFonts w:hint="eastAsia"/>
              </w:rPr>
              <w:sym w:font="Wingdings 2" w:char="0052"/>
            </w:r>
            <w:r>
              <w:rPr>
                <w:rFonts w:hint="eastAsia"/>
              </w:rPr>
              <w:t>营销和市场□生产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pStyle w:val="3"/>
              <w:spacing w:line="410" w:lineRule="exact"/>
              <w:jc w:val="both"/>
              <w:rPr>
                <w:rFonts w:hint="eastAsia"/>
              </w:rPr>
            </w:pPr>
            <w:r>
              <w:rPr>
                <w:rFonts w:hint="eastAsia"/>
              </w:rPr>
              <w:t>最高管理者制定了文件化的管理体系方针：</w:t>
            </w:r>
          </w:p>
          <w:p>
            <w:pPr>
              <w:pStyle w:val="3"/>
              <w:spacing w:line="410" w:lineRule="exact"/>
              <w:ind w:firstLine="482" w:firstLineChars="200"/>
              <w:jc w:val="center"/>
              <w:rPr>
                <w:rFonts w:hint="eastAsia"/>
                <w:b/>
                <w:sz w:val="24"/>
                <w:szCs w:val="24"/>
              </w:rPr>
            </w:pPr>
            <w:r>
              <w:rPr>
                <w:rFonts w:hint="eastAsia"/>
                <w:b/>
                <w:sz w:val="24"/>
                <w:szCs w:val="24"/>
              </w:rPr>
              <w:t>遵纪守法，爱护环境。</w:t>
            </w:r>
          </w:p>
          <w:p>
            <w:pPr>
              <w:pStyle w:val="3"/>
              <w:spacing w:line="410" w:lineRule="exact"/>
              <w:ind w:firstLine="482" w:firstLineChars="200"/>
              <w:jc w:val="center"/>
              <w:rPr>
                <w:u w:val="single"/>
              </w:rPr>
            </w:pPr>
            <w:r>
              <w:rPr>
                <w:rFonts w:hint="eastAsia"/>
                <w:b/>
                <w:sz w:val="24"/>
                <w:szCs w:val="24"/>
              </w:rPr>
              <w:t>安全第一，持续改进</w:t>
            </w:r>
            <w:r>
              <w:rPr>
                <w:rFonts w:hint="eastAsia"/>
                <w:b/>
                <w:sz w:val="28"/>
                <w:szCs w:val="28"/>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GB"/>
                    </w:rPr>
                    <w:t>国家不断的完善环境法律法规和相关要求，公司面临的环境管理压力日趋增大</w:t>
                  </w:r>
                  <w:r>
                    <w:rPr>
                      <w:rFonts w:hint="eastAsia" w:ascii="Times New Roman" w:hAnsi="Times New Roman" w:eastAsia="宋体" w:cs="Times New Roman"/>
                      <w:lang w:val="en-GB" w:eastAsia="zh-CN"/>
                    </w:rPr>
                    <w:t>；</w:t>
                  </w:r>
                </w:p>
              </w:tc>
              <w:tc>
                <w:tcPr>
                  <w:tcW w:w="3965" w:type="dxa"/>
                </w:tcPr>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规范公司环保要求，不断学习环境法律法规；</w:t>
                  </w:r>
                </w:p>
                <w:p>
                  <w:pPr>
                    <w:shd w:val="clear" w:color="auto" w:fill="EBF1DE" w:themeFill="accent3" w:themeFillTint="32"/>
                    <w:rPr>
                      <w:rFonts w:hint="eastAsia" w:ascii="Times New Roman" w:hAnsi="Times New Roman" w:eastAsia="宋体" w:cs="Times New Roman"/>
                      <w:lang w:val="en-GB"/>
                    </w:rPr>
                  </w:pPr>
                </w:p>
              </w:tc>
              <w:tc>
                <w:tcPr>
                  <w:tcW w:w="1717" w:type="dxa"/>
                </w:tcPr>
                <w:p>
                  <w:pPr>
                    <w:shd w:val="clear" w:color="auto" w:fill="EBF1DE" w:themeFill="accent3" w:themeFillTint="32"/>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公司产品符合环保要求；公司消防设备齐全，应急培训充分，能充分应对各种突发情况</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供应商资质齐全，产品符合环保要求。</w:t>
                  </w:r>
                </w:p>
              </w:tc>
              <w:tc>
                <w:tcPr>
                  <w:tcW w:w="3965" w:type="dxa"/>
                </w:tcPr>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选择附近优质客户进行合作</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不断进行职业健康培训，提升员工职业健康意识，做好安全措施。</w:t>
                  </w:r>
                </w:p>
              </w:tc>
              <w:tc>
                <w:tcPr>
                  <w:tcW w:w="1717" w:type="dxa"/>
                </w:tcPr>
                <w:p>
                  <w:pPr>
                    <w:shd w:val="clear" w:color="auto" w:fill="EBF1DE" w:themeFill="accent3" w:themeFillTint="32"/>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能源消耗</w:t>
            </w:r>
            <w:r>
              <w:rPr>
                <w:rFonts w:hint="eastAsia"/>
              </w:rPr>
              <w:sym w:font="Wingdings 2" w:char="00A3"/>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sz w:val="18"/>
                      <w:szCs w:val="18"/>
                    </w:rPr>
                    <w:t>固体废弃物分类管理</w:t>
                  </w:r>
                  <w:r>
                    <w:rPr>
                      <w:rFonts w:hint="eastAsia"/>
                      <w:sz w:val="18"/>
                      <w:szCs w:val="18"/>
                      <w:lang w:eastAsia="zh-CN"/>
                    </w:rPr>
                    <w:t>、</w:t>
                  </w:r>
                  <w:r>
                    <w:rPr>
                      <w:rFonts w:hint="eastAsia"/>
                      <w:sz w:val="18"/>
                      <w:szCs w:val="18"/>
                    </w:rPr>
                    <w:t>处置率100%</w:t>
                  </w:r>
                </w:p>
              </w:tc>
              <w:tc>
                <w:tcPr>
                  <w:tcW w:w="3136" w:type="dxa"/>
                  <w:shd w:val="clear" w:color="auto" w:fill="auto"/>
                  <w:vAlign w:val="center"/>
                </w:tcPr>
                <w:p>
                  <w:pPr>
                    <w:numPr>
                      <w:ilvl w:val="0"/>
                      <w:numId w:val="2"/>
                    </w:numPr>
                    <w:shd w:val="clear" w:color="auto" w:fill="EBF1DE" w:themeFill="accent3" w:themeFillTint="32"/>
                    <w:ind w:left="425" w:leftChars="0" w:hanging="425" w:firstLineChars="0"/>
                    <w:rPr>
                      <w:rFonts w:hint="eastAsia" w:ascii="Times New Roman" w:hAnsi="Times New Roman" w:eastAsia="宋体" w:cs="Times New Roman"/>
                    </w:rPr>
                  </w:pPr>
                  <w:r>
                    <w:rPr>
                      <w:rFonts w:hint="eastAsia" w:ascii="Times New Roman" w:hAnsi="Times New Roman" w:eastAsia="宋体" w:cs="Times New Roman"/>
                    </w:rPr>
                    <w:t>制定</w:t>
                  </w:r>
                  <w:r>
                    <w:rPr>
                      <w:rFonts w:hint="eastAsia" w:ascii="Times New Roman" w:hAnsi="Times New Roman" w:eastAsia="宋体" w:cs="Times New Roman"/>
                      <w:lang w:eastAsia="zh-CN"/>
                    </w:rPr>
                    <w:t>固体弃物</w:t>
                  </w:r>
                  <w:r>
                    <w:rPr>
                      <w:rFonts w:hint="eastAsia" w:ascii="Times New Roman" w:hAnsi="Times New Roman" w:eastAsia="宋体" w:cs="Times New Roman"/>
                    </w:rPr>
                    <w:t>处理措施</w:t>
                  </w:r>
                </w:p>
                <w:p>
                  <w:pPr>
                    <w:numPr>
                      <w:ilvl w:val="0"/>
                      <w:numId w:val="2"/>
                    </w:numPr>
                    <w:shd w:val="clear" w:color="auto" w:fill="EBF1DE" w:themeFill="accent3" w:themeFillTint="32"/>
                    <w:ind w:left="425" w:leftChars="0" w:hanging="425" w:firstLineChars="0"/>
                    <w:rPr>
                      <w:rFonts w:hint="eastAsia" w:ascii="Times New Roman" w:hAnsi="Times New Roman" w:eastAsia="宋体" w:cs="Times New Roman"/>
                    </w:rPr>
                  </w:pPr>
                  <w:r>
                    <w:rPr>
                      <w:rFonts w:hint="eastAsia" w:ascii="Times New Roman" w:hAnsi="Times New Roman" w:eastAsia="宋体" w:cs="Times New Roman"/>
                    </w:rPr>
                    <w:t>选择合理存放</w:t>
                  </w:r>
                  <w:r>
                    <w:rPr>
                      <w:rFonts w:hint="eastAsia" w:ascii="Times New Roman" w:hAnsi="Times New Roman" w:eastAsia="宋体" w:cs="Times New Roman"/>
                      <w:lang w:eastAsia="zh-CN"/>
                    </w:rPr>
                    <w:t>固体弃物</w:t>
                  </w:r>
                  <w:r>
                    <w:rPr>
                      <w:rFonts w:hint="eastAsia" w:ascii="Times New Roman" w:hAnsi="Times New Roman" w:eastAsia="宋体" w:cs="Times New Roman"/>
                    </w:rPr>
                    <w:t>位置</w:t>
                  </w:r>
                </w:p>
                <w:p>
                  <w:pPr>
                    <w:numPr>
                      <w:ilvl w:val="0"/>
                      <w:numId w:val="2"/>
                    </w:numPr>
                    <w:shd w:val="clear" w:color="auto" w:fill="EBF1DE" w:themeFill="accent3" w:themeFillTint="32"/>
                    <w:ind w:left="425" w:leftChars="0" w:hanging="425" w:firstLineChars="0"/>
                    <w:rPr>
                      <w:rFonts w:hint="eastAsia" w:ascii="Times New Roman" w:hAnsi="Times New Roman" w:eastAsia="宋体" w:cs="Times New Roman"/>
                    </w:rPr>
                  </w:pPr>
                  <w:r>
                    <w:rPr>
                      <w:rFonts w:hint="eastAsia" w:ascii="Times New Roman" w:hAnsi="Times New Roman" w:eastAsia="宋体" w:cs="Times New Roman"/>
                    </w:rPr>
                    <w:t>联系</w:t>
                  </w:r>
                  <w:r>
                    <w:rPr>
                      <w:rFonts w:hint="eastAsia" w:ascii="Times New Roman" w:hAnsi="Times New Roman" w:eastAsia="宋体" w:cs="Times New Roman"/>
                      <w:lang w:eastAsia="zh-CN"/>
                    </w:rPr>
                    <w:t>固体弃物</w:t>
                  </w:r>
                  <w:r>
                    <w:rPr>
                      <w:rFonts w:hint="eastAsia" w:ascii="Times New Roman" w:hAnsi="Times New Roman" w:eastAsia="宋体" w:cs="Times New Roman"/>
                    </w:rPr>
                    <w:t>回收</w:t>
                  </w:r>
                  <w:r>
                    <w:rPr>
                      <w:rFonts w:hint="eastAsia" w:ascii="Times New Roman" w:hAnsi="Times New Roman" w:eastAsia="宋体" w:cs="Times New Roman"/>
                      <w:lang w:eastAsia="zh-CN"/>
                    </w:rPr>
                    <w:t>公司</w:t>
                  </w:r>
                  <w:r>
                    <w:rPr>
                      <w:rFonts w:hint="eastAsia" w:ascii="Times New Roman" w:hAnsi="Times New Roman" w:eastAsia="宋体" w:cs="Times New Roman"/>
                    </w:rPr>
                    <w:t>及时回收</w:t>
                  </w:r>
                </w:p>
                <w:p>
                  <w:pPr>
                    <w:shd w:val="clear" w:color="auto" w:fill="EBF1DE" w:themeFill="accent3" w:themeFillTint="32"/>
                    <w:rPr>
                      <w:lang w:val="en-GB"/>
                    </w:rPr>
                  </w:pPr>
                </w:p>
              </w:tc>
              <w:tc>
                <w:tcPr>
                  <w:tcW w:w="1350" w:type="dxa"/>
                  <w:shd w:val="clear" w:color="auto" w:fill="auto"/>
                  <w:vAlign w:val="center"/>
                </w:tcPr>
                <w:p>
                  <w:pPr>
                    <w:jc w:val="center"/>
                    <w:rPr>
                      <w:lang w:val="en-GB"/>
                    </w:rPr>
                  </w:pPr>
                  <w:r>
                    <w:rPr>
                      <w:rFonts w:hint="eastAsia"/>
                      <w:sz w:val="18"/>
                      <w:szCs w:val="18"/>
                      <w:lang w:eastAsia="zh-CN"/>
                    </w:rPr>
                    <w:t>行政部、</w:t>
                  </w:r>
                  <w:r>
                    <w:rPr>
                      <w:rFonts w:hint="eastAsia"/>
                      <w:sz w:val="18"/>
                      <w:szCs w:val="18"/>
                      <w:lang w:val="en-US" w:eastAsia="zh-CN"/>
                    </w:rPr>
                    <w:t>业务部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sz w:val="18"/>
                      <w:szCs w:val="18"/>
                    </w:rPr>
                    <w:t>杜绝火灾事故</w:t>
                  </w:r>
                </w:p>
              </w:tc>
              <w:tc>
                <w:tcPr>
                  <w:tcW w:w="3136" w:type="dxa"/>
                  <w:shd w:val="clear" w:color="auto" w:fill="auto"/>
                  <w:vAlign w:val="center"/>
                </w:tcPr>
                <w:p>
                  <w:pPr>
                    <w:numPr>
                      <w:numId w:val="0"/>
                    </w:numPr>
                    <w:shd w:val="clear" w:color="auto" w:fill="EBF1DE" w:themeFill="accent3" w:themeFillTint="32"/>
                    <w:ind w:leftChars="0"/>
                    <w:rPr>
                      <w:rFonts w:hint="eastAsia" w:ascii="Times New Roman" w:hAnsi="Times New Roman" w:eastAsia="宋体" w:cs="Times New Roman"/>
                    </w:rPr>
                  </w:pPr>
                  <w:r>
                    <w:rPr>
                      <w:rFonts w:hint="eastAsia" w:ascii="Times New Roman" w:hAnsi="Times New Roman" w:eastAsia="宋体" w:cs="Times New Roman"/>
                    </w:rPr>
                    <w:t>1、办公区域设置安全警示牌。</w:t>
                  </w:r>
                </w:p>
                <w:p>
                  <w:pPr>
                    <w:numPr>
                      <w:numId w:val="0"/>
                    </w:numPr>
                    <w:shd w:val="clear" w:color="auto" w:fill="EBF1DE" w:themeFill="accent3" w:themeFillTint="32"/>
                    <w:ind w:leftChars="0"/>
                    <w:rPr>
                      <w:rFonts w:hint="eastAsia" w:ascii="Times New Roman" w:hAnsi="Times New Roman" w:eastAsia="宋体" w:cs="Times New Roman"/>
                    </w:rPr>
                  </w:pPr>
                  <w:r>
                    <w:rPr>
                      <w:rFonts w:hint="eastAsia" w:ascii="Times New Roman" w:hAnsi="Times New Roman" w:eastAsia="宋体" w:cs="Times New Roman"/>
                    </w:rPr>
                    <w:t>2、管理层组织培训。</w:t>
                  </w:r>
                </w:p>
                <w:p>
                  <w:pPr>
                    <w:numPr>
                      <w:numId w:val="0"/>
                    </w:numPr>
                    <w:shd w:val="clear" w:color="auto" w:fill="EBF1DE" w:themeFill="accent3" w:themeFillTint="32"/>
                    <w:ind w:leftChars="0"/>
                    <w:rPr>
                      <w:rFonts w:hint="eastAsia" w:ascii="Times New Roman" w:hAnsi="Times New Roman" w:eastAsia="宋体" w:cs="Times New Roman"/>
                    </w:rPr>
                  </w:pPr>
                  <w:r>
                    <w:rPr>
                      <w:rFonts w:hint="eastAsia" w:ascii="Times New Roman" w:hAnsi="Times New Roman" w:eastAsia="宋体" w:cs="Times New Roman"/>
                    </w:rPr>
                    <w:t>3、预备相关的消防器材；</w:t>
                  </w:r>
                </w:p>
                <w:p>
                  <w:pPr>
                    <w:numPr>
                      <w:numId w:val="0"/>
                    </w:numPr>
                    <w:shd w:val="clear" w:color="auto" w:fill="EBF1DE" w:themeFill="accent3" w:themeFillTint="32"/>
                    <w:ind w:leftChars="0"/>
                    <w:rPr>
                      <w:rFonts w:ascii="宋体" w:hAnsi="宋体"/>
                    </w:rPr>
                  </w:pPr>
                  <w:r>
                    <w:rPr>
                      <w:rFonts w:hint="eastAsia" w:ascii="Times New Roman" w:hAnsi="Times New Roman" w:eastAsia="宋体" w:cs="Times New Roman"/>
                      <w:lang w:val="en-US" w:eastAsia="zh-CN"/>
                    </w:rPr>
                    <w:t>4、安全用电，禁止使用大功率电器。</w:t>
                  </w:r>
                </w:p>
              </w:tc>
              <w:tc>
                <w:tcPr>
                  <w:tcW w:w="1350" w:type="dxa"/>
                  <w:shd w:val="clear" w:color="auto" w:fill="auto"/>
                  <w:vAlign w:val="center"/>
                </w:tcPr>
                <w:p>
                  <w:pPr>
                    <w:jc w:val="center"/>
                    <w:rPr>
                      <w:rFonts w:ascii="宋体" w:hAnsi="宋体"/>
                    </w:rPr>
                  </w:pPr>
                  <w:r>
                    <w:rPr>
                      <w:rFonts w:hint="eastAsia"/>
                      <w:sz w:val="18"/>
                      <w:szCs w:val="18"/>
                      <w:lang w:eastAsia="zh-CN"/>
                    </w:rPr>
                    <w:t>行政部、</w:t>
                  </w:r>
                  <w:r>
                    <w:rPr>
                      <w:rFonts w:hint="eastAsia"/>
                      <w:sz w:val="18"/>
                      <w:szCs w:val="18"/>
                      <w:lang w:val="en-US" w:eastAsia="zh-CN"/>
                    </w:rPr>
                    <w:t>业务部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sym w:font="Wingdings 2" w:char="0052"/>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1800</w:t>
            </w:r>
            <w:r>
              <w:rPr>
                <w:rFonts w:hint="eastAsia"/>
              </w:rPr>
              <w:t>平方米；生产车间个；库房</w:t>
            </w:r>
            <w:r>
              <w:rPr>
                <w:rFonts w:hint="eastAsia"/>
                <w:lang w:val="en-US" w:eastAsia="zh-CN"/>
              </w:rPr>
              <w:t>1</w:t>
            </w:r>
            <w:r>
              <w:rPr>
                <w:rFonts w:hint="eastAsia"/>
              </w:rPr>
              <w:t>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t>¨</w:t>
            </w:r>
            <w:r>
              <w:rPr>
                <w:rFonts w:hint="eastAsia"/>
              </w:rPr>
              <w:t>网站</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sym w:font="Wingdings 2" w:char="0052"/>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lang w:val="en-US" w:eastAsia="zh-CN"/>
                    </w:rPr>
                    <w:t>生活废水进行城市管网处理</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固废排放</w:t>
                  </w:r>
                </w:p>
              </w:tc>
              <w:tc>
                <w:tcPr>
                  <w:tcW w:w="3665" w:type="dxa"/>
                </w:tcPr>
                <w:p>
                  <w:pPr>
                    <w:shd w:val="clear" w:color="auto" w:fill="EBF1DE" w:themeFill="accent3"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固体弃物</w:t>
                  </w:r>
                  <w:r>
                    <w:rPr>
                      <w:rFonts w:hint="eastAsia" w:ascii="Times New Roman" w:hAnsi="Times New Roman" w:eastAsia="宋体" w:cs="Times New Roman"/>
                    </w:rPr>
                    <w:t>治理</w:t>
                  </w:r>
                  <w:r>
                    <w:rPr>
                      <w:rFonts w:hint="eastAsia" w:ascii="Times New Roman" w:hAnsi="Times New Roman" w:eastAsia="宋体" w:cs="Times New Roman"/>
                      <w:lang w:val="en-US" w:eastAsia="zh-CN"/>
                    </w:rPr>
                    <w:t>管理方案</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lang w:val="en-US" w:eastAsia="zh-CN"/>
                    </w:rPr>
                    <w:t>配备灭火器消防栓等</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sym w:font="Wingdings 2" w:char="0052"/>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5</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法律法规□技术□竞争□市场□文化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w:t>
            </w:r>
            <w:r>
              <w:rPr>
                <w:rFonts w:hint="eastAsia"/>
              </w:rPr>
              <w:sym w:font="Wingdings 2" w:char="00A3"/>
            </w:r>
            <w:r>
              <w:rPr>
                <w:rFonts w:hint="eastAsia"/>
              </w:rPr>
              <w:t>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pStyle w:val="3"/>
              <w:spacing w:line="410" w:lineRule="exact"/>
              <w:jc w:val="both"/>
              <w:rPr>
                <w:rFonts w:hint="eastAsia"/>
                <w:b/>
                <w:sz w:val="24"/>
                <w:szCs w:val="24"/>
              </w:rPr>
            </w:pPr>
            <w:r>
              <w:rPr>
                <w:rFonts w:hint="eastAsia"/>
              </w:rPr>
              <w:t>最高管理者制定了文件化的职业健康安全管理体系方针：</w:t>
            </w:r>
            <w:r>
              <w:rPr>
                <w:rFonts w:hint="eastAsia"/>
                <w:b/>
                <w:sz w:val="24"/>
                <w:szCs w:val="24"/>
              </w:rPr>
              <w:t>遵纪守法，爱护环境。</w:t>
            </w:r>
          </w:p>
          <w:p>
            <w:pPr>
              <w:pStyle w:val="3"/>
              <w:spacing w:line="410" w:lineRule="exact"/>
              <w:ind w:firstLine="482" w:firstLineChars="200"/>
              <w:jc w:val="center"/>
              <w:rPr>
                <w:sz w:val="24"/>
                <w:szCs w:val="24"/>
                <w:u w:val="single"/>
              </w:rPr>
            </w:pPr>
            <w:r>
              <w:rPr>
                <w:rFonts w:hint="eastAsia"/>
                <w:b/>
                <w:sz w:val="24"/>
                <w:szCs w:val="24"/>
              </w:rPr>
              <w:t>安全第一，持续改进。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宋体" w:hAnsi="宋体" w:eastAsia="宋体" w:cs="宋体"/>
                <w:sz w:val="24"/>
                <w:u w:val="single"/>
                <w:lang w:val="en-US" w:eastAsia="zh-CN"/>
              </w:rPr>
              <w:t>陈凤差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ascii="Times New Roman" w:hAnsi="Times New Roman" w:eastAsia="宋体" w:cs="Times New Roman"/>
                      <w:lang w:val="en-US" w:eastAsia="zh-CN"/>
                    </w:rPr>
                    <w:t>来自当地安全部门的监察</w:t>
                  </w:r>
                </w:p>
              </w:tc>
              <w:tc>
                <w:tcPr>
                  <w:tcW w:w="3965" w:type="dxa"/>
                  <w:vAlign w:val="top"/>
                </w:tcPr>
                <w:p>
                  <w:r>
                    <w:rPr>
                      <w:rFonts w:hint="eastAsia" w:ascii="Times New Roman" w:hAnsi="Times New Roman" w:eastAsia="宋体" w:cs="Times New Roman"/>
                      <w:lang w:val="en-US" w:eastAsia="zh-CN"/>
                    </w:rPr>
                    <w:t>合规合法经营</w:t>
                  </w:r>
                </w:p>
              </w:tc>
              <w:tc>
                <w:tcPr>
                  <w:tcW w:w="1717" w:type="dxa"/>
                  <w:vAlign w:val="top"/>
                </w:tcPr>
                <w:p>
                  <w:pPr>
                    <w:rPr>
                      <w:rFonts w:hint="default" w:eastAsia="宋体"/>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ascii="Times New Roman" w:hAnsi="Times New Roman" w:eastAsia="宋体" w:cs="Times New Roman"/>
                      <w:lang w:val="en-US" w:eastAsia="zh-CN"/>
                    </w:rPr>
                    <w:t>火灾</w:t>
                  </w:r>
                </w:p>
              </w:tc>
              <w:tc>
                <w:tcPr>
                  <w:tcW w:w="3965" w:type="dxa"/>
                  <w:vAlign w:val="top"/>
                </w:tcPr>
                <w:p>
                  <w:r>
                    <w:rPr>
                      <w:rFonts w:hint="eastAsia" w:ascii="Times New Roman" w:hAnsi="Times New Roman" w:eastAsia="宋体" w:cs="Times New Roman"/>
                      <w:lang w:val="en-US" w:eastAsia="zh-CN"/>
                    </w:rPr>
                    <w:t>加强员工防火意识</w:t>
                  </w:r>
                </w:p>
              </w:tc>
              <w:tc>
                <w:tcPr>
                  <w:tcW w:w="1717" w:type="dxa"/>
                  <w:vAlign w:val="top"/>
                </w:tcPr>
                <w:p>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sz w:val="18"/>
                      <w:szCs w:val="18"/>
                      <w:lang w:eastAsia="zh-CN"/>
                    </w:rPr>
                    <w:t>火灾、触电</w:t>
                  </w:r>
                  <w:r>
                    <w:rPr>
                      <w:rFonts w:hint="eastAsia"/>
                      <w:sz w:val="18"/>
                      <w:szCs w:val="18"/>
                    </w:rPr>
                    <w:t>发生次数为0次/每年</w:t>
                  </w:r>
                </w:p>
              </w:tc>
              <w:tc>
                <w:tcPr>
                  <w:tcW w:w="3136" w:type="dxa"/>
                  <w:shd w:val="clear" w:color="auto" w:fill="auto"/>
                  <w:vAlign w:val="center"/>
                </w:tcPr>
                <w:p>
                  <w:pPr>
                    <w:rPr>
                      <w:rFonts w:hint="eastAsia" w:ascii="Times New Roman" w:hAnsi="Times New Roman" w:eastAsia="宋体" w:cs="Times New Roman"/>
                    </w:rPr>
                  </w:pPr>
                  <w:r>
                    <w:rPr>
                      <w:rFonts w:hint="eastAsia" w:ascii="Times New Roman" w:hAnsi="Times New Roman" w:eastAsia="宋体" w:cs="Times New Roman"/>
                    </w:rPr>
                    <w:t>1、在办公区域设置防触电警示牌。</w:t>
                  </w:r>
                </w:p>
                <w:p>
                  <w:pPr>
                    <w:rPr>
                      <w:rFonts w:hint="eastAsia" w:ascii="Times New Roman" w:hAnsi="Times New Roman" w:eastAsia="宋体" w:cs="Times New Roman"/>
                    </w:rPr>
                  </w:pPr>
                  <w:r>
                    <w:rPr>
                      <w:rFonts w:hint="eastAsia" w:ascii="Times New Roman" w:hAnsi="Times New Roman" w:eastAsia="宋体" w:cs="Times New Roman"/>
                    </w:rPr>
                    <w:t>2、管理层组织防触电培训。</w:t>
                  </w:r>
                </w:p>
                <w:p>
                  <w:pPr>
                    <w:rPr>
                      <w:rFonts w:hint="eastAsia" w:ascii="Times New Roman" w:hAnsi="Times New Roman" w:eastAsia="宋体" w:cs="Times New Roman"/>
                    </w:rPr>
                  </w:pPr>
                  <w:r>
                    <w:rPr>
                      <w:rFonts w:hint="eastAsia" w:ascii="Times New Roman" w:hAnsi="Times New Roman" w:eastAsia="宋体" w:cs="Times New Roman"/>
                    </w:rPr>
                    <w:t>3、完善制定人员伤害应急预案，成立应急小组；</w:t>
                  </w:r>
                </w:p>
                <w:p>
                  <w:pPr>
                    <w:rPr>
                      <w:rFonts w:hint="eastAsia" w:ascii="Times New Roman" w:hAnsi="Times New Roman" w:eastAsia="宋体" w:cs="Times New Roman"/>
                    </w:rPr>
                  </w:pPr>
                  <w:r>
                    <w:rPr>
                      <w:rFonts w:hint="eastAsia" w:ascii="Times New Roman" w:hAnsi="Times New Roman" w:eastAsia="宋体" w:cs="Times New Roman"/>
                    </w:rPr>
                    <w:t>4、对有电器运行的区域加强监督及防范；</w:t>
                  </w:r>
                </w:p>
                <w:p>
                  <w:pPr>
                    <w:rPr>
                      <w:lang w:val="en-GB"/>
                    </w:rPr>
                  </w:pPr>
                </w:p>
              </w:tc>
              <w:tc>
                <w:tcPr>
                  <w:tcW w:w="1350" w:type="dxa"/>
                  <w:shd w:val="clear" w:color="auto" w:fill="auto"/>
                  <w:vAlign w:val="center"/>
                </w:tcPr>
                <w:p>
                  <w:pPr>
                    <w:rPr>
                      <w:rFonts w:hint="default" w:eastAsia="宋体"/>
                      <w:lang w:val="en-US" w:eastAsia="zh-CN"/>
                    </w:rPr>
                  </w:pPr>
                  <w:r>
                    <w:rPr>
                      <w:rFonts w:hint="eastAsia"/>
                      <w:lang w:val="en-US" w:eastAsia="zh-CN"/>
                    </w:rPr>
                    <w:t>行政部、业务部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lang w:val="en-US" w:eastAsia="zh-CN"/>
                    </w:rPr>
                    <w:t>交通意外事故为0次/年</w:t>
                  </w:r>
                </w:p>
              </w:tc>
              <w:tc>
                <w:tcPr>
                  <w:tcW w:w="3136" w:type="dxa"/>
                  <w:shd w:val="clear" w:color="auto" w:fill="auto"/>
                  <w:vAlign w:val="center"/>
                </w:tcPr>
                <w:p>
                  <w:pPr>
                    <w:rPr>
                      <w:rFonts w:hint="eastAsia" w:ascii="Times New Roman" w:hAnsi="Times New Roman" w:eastAsia="宋体" w:cs="Times New Roman"/>
                    </w:rPr>
                  </w:pPr>
                  <w:r>
                    <w:rPr>
                      <w:rFonts w:hint="eastAsia" w:ascii="Times New Roman" w:hAnsi="Times New Roman" w:eastAsia="宋体" w:cs="Times New Roman"/>
                      <w:lang w:val="en-US" w:eastAsia="zh-CN"/>
                    </w:rPr>
                    <w:t>教育员工，不得无证驾驶车辆、禁止酒后驾车、遵守交通规则。</w:t>
                  </w:r>
                </w:p>
              </w:tc>
              <w:tc>
                <w:tcPr>
                  <w:tcW w:w="1350" w:type="dxa"/>
                  <w:shd w:val="clear" w:color="auto" w:fill="auto"/>
                  <w:vAlign w:val="center"/>
                </w:tcPr>
                <w:p>
                  <w:pPr>
                    <w:rPr>
                      <w:rFonts w:ascii="宋体" w:hAnsi="宋体"/>
                    </w:rPr>
                  </w:pPr>
                  <w:r>
                    <w:rPr>
                      <w:rFonts w:hint="eastAsia"/>
                      <w:lang w:val="en-US" w:eastAsia="zh-CN"/>
                    </w:rPr>
                    <w:t>行政部、业务部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sym w:font="Wingdings 2" w:char="0052"/>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1800</w:t>
            </w:r>
            <w:r>
              <w:rPr>
                <w:rFonts w:hint="eastAsia"/>
              </w:rPr>
              <w:t>平方米；生产车间个；库房</w:t>
            </w:r>
            <w:r>
              <w:rPr>
                <w:rFonts w:hint="eastAsia"/>
                <w:lang w:val="en-US" w:eastAsia="zh-CN"/>
              </w:rPr>
              <w:t>1</w:t>
            </w:r>
            <w:r>
              <w:rPr>
                <w:rFonts w:hint="eastAsia"/>
              </w:rPr>
              <w:t>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2" w:char="0052"/>
            </w:r>
            <w:r>
              <w:rPr>
                <w:rFonts w:hint="eastAsia"/>
              </w:rPr>
              <w:t>漏电开关</w:t>
            </w:r>
            <w:r>
              <w:rPr>
                <w:rFonts w:hint="eastAsia" w:ascii="Wingdings" w:hAnsi="Wingdings"/>
              </w:rPr>
              <w:t>¨</w:t>
            </w:r>
            <w:r>
              <w:rPr>
                <w:rFonts w:hint="eastAsia"/>
              </w:rPr>
              <w:t>报警系统</w:t>
            </w:r>
            <w:r>
              <w:rPr>
                <w:rFonts w:hint="eastAsia" w:ascii="Wingdings" w:hAnsi="Wingdings"/>
              </w:rPr>
              <w:sym w:font="Wingdings 2" w:char="0052"/>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2" w:char="0052"/>
            </w:r>
            <w:r>
              <w:rPr>
                <w:rFonts w:hint="eastAsia"/>
              </w:rPr>
              <w:t>会议传达</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sym w:font="Wingdings 2" w:char="00A3"/>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t>¨</w:t>
            </w:r>
            <w:r>
              <w:rPr>
                <w:rFonts w:hint="eastAsia"/>
              </w:rPr>
              <w:t>网站</w:t>
            </w:r>
            <w:r>
              <w:rPr>
                <w:rFonts w:hint="eastAsia" w:ascii="Wingdings" w:hAnsi="Wingdings"/>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2" w:char="0052"/>
            </w:r>
            <w:r>
              <w:rPr>
                <w:rFonts w:hint="eastAsia"/>
              </w:rPr>
              <w:t>消除危险源；</w:t>
            </w:r>
          </w:p>
          <w:p>
            <w:r>
              <w:rPr>
                <w:rFonts w:hint="eastAsia" w:ascii="Wingdings" w:hAnsi="Wingdings"/>
              </w:rPr>
              <w:sym w:font="Wingdings 2" w:char="0052"/>
            </w:r>
            <w:r>
              <w:rPr>
                <w:rFonts w:hint="eastAsia"/>
              </w:rPr>
              <w:t>用低危害材料、工艺、运行或设备替代；</w:t>
            </w:r>
          </w:p>
          <w:p>
            <w:r>
              <w:rPr>
                <w:rFonts w:hint="eastAsia" w:ascii="Wingdings" w:hAnsi="Wingdings"/>
              </w:rPr>
              <w:sym w:font="Wingdings 2" w:char="0052"/>
            </w:r>
            <w:r>
              <w:rPr>
                <w:rFonts w:hint="eastAsia"/>
              </w:rPr>
              <w:t>使用工程控制措施和（或）重新组织工作；</w:t>
            </w:r>
          </w:p>
          <w:p>
            <w:r>
              <w:rPr>
                <w:rFonts w:hint="eastAsia" w:ascii="Wingdings" w:hAnsi="Wingdings"/>
              </w:rPr>
              <w:sym w:font="Wingdings 2" w:char="0052"/>
            </w:r>
            <w:r>
              <w:rPr>
                <w:rFonts w:hint="eastAsia"/>
              </w:rPr>
              <w:t>使用管理措施，包括培训；</w:t>
            </w:r>
          </w:p>
          <w:p>
            <w:r>
              <w:rPr>
                <w:rFonts w:hint="eastAsia" w:ascii="Wingdings" w:hAnsi="Wingdings"/>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sym w:font="Wingdings 2" w:char="0052"/>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tcPr>
                <w:p>
                  <w:pPr>
                    <w:jc w:val="left"/>
                  </w:pPr>
                  <w:r>
                    <w:rPr>
                      <w:rFonts w:hint="eastAsia"/>
                      <w:lang w:val="en-US" w:eastAsia="zh-CN"/>
                    </w:rPr>
                    <w:t>加强员工防火意识；</w:t>
                  </w:r>
                  <w:r>
                    <w:rPr>
                      <w:rFonts w:hint="eastAsia" w:ascii="Times New Roman" w:hAnsi="Times New Roman" w:eastAsia="宋体" w:cs="Times New Roman"/>
                      <w:lang w:val="en-US" w:eastAsia="zh-CN"/>
                    </w:rPr>
                    <w:t>加强消防设施检查</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sym w:font="Wingdings 2" w:char="0052"/>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15</w:t>
            </w:r>
            <w:r>
              <w:rPr>
                <w:rFonts w:hint="eastAsia"/>
              </w:rPr>
              <w:t>日进行了</w:t>
            </w:r>
            <w:r>
              <w:rPr>
                <w:rFonts w:hint="eastAsia"/>
                <w:lang w:val="en-US" w:eastAsia="zh-CN"/>
              </w:rPr>
              <w:t>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bookmarkStart w:id="34" w:name="_GoBack"/>
            <w:bookmarkEnd w:id="34"/>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EEF1FC34"/>
    <w:multiLevelType w:val="singleLevel"/>
    <w:tmpl w:val="EEF1FC34"/>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9C2F59"/>
    <w:rsid w:val="35955377"/>
    <w:rsid w:val="399E5DE0"/>
    <w:rsid w:val="6A0F6F55"/>
    <w:rsid w:val="7F5D3A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iPriority w:val="0"/>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hb</cp:lastModifiedBy>
  <cp:lastPrinted>2019-05-13T03:19:00Z</cp:lastPrinted>
  <dcterms:modified xsi:type="dcterms:W3CDTF">2021-11-28T12:44:33Z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