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1170-2021-EnMs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福建省联丰盛漂染植绒有限公司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福建省联丰盛漂染植绒有限公司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晋江市深沪镇东海安工业区</w:t>
            </w:r>
            <w:bookmarkEnd w:id="6"/>
          </w:p>
        </w:tc>
        <w:tc>
          <w:tcPr>
            <w:tcW w:w="1242" w:type="dxa"/>
            <w:vMerge w:val="restart"/>
            <w:vAlign w:val="center"/>
          </w:tcPr>
          <w:p>
            <w:r>
              <w:rPr>
                <w:rFonts w:hint="eastAsia"/>
              </w:rPr>
              <w:t>邮编</w:t>
            </w:r>
          </w:p>
        </w:tc>
        <w:tc>
          <w:tcPr>
            <w:tcW w:w="1771" w:type="dxa"/>
          </w:tcPr>
          <w:p>
            <w:bookmarkStart w:id="7" w:name="注册邮编"/>
            <w:r>
              <w:t>362246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晋江市深沪镇东海安工业区</w:t>
            </w:r>
            <w:bookmarkEnd w:id="8"/>
          </w:p>
        </w:tc>
        <w:tc>
          <w:tcPr>
            <w:tcW w:w="1242" w:type="dxa"/>
            <w:vMerge w:val="continue"/>
            <w:vAlign w:val="center"/>
          </w:tcPr>
          <w:p/>
        </w:tc>
        <w:tc>
          <w:tcPr>
            <w:tcW w:w="1771" w:type="dxa"/>
          </w:tcPr>
          <w:p>
            <w:bookmarkStart w:id="9" w:name="办公邮编"/>
            <w:r>
              <w:t>362246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吴天宝</w:t>
            </w:r>
            <w:bookmarkEnd w:id="10"/>
          </w:p>
        </w:tc>
        <w:tc>
          <w:tcPr>
            <w:tcW w:w="1313" w:type="dxa"/>
            <w:vAlign w:val="center"/>
          </w:tcPr>
          <w:p>
            <w:r>
              <w:rPr>
                <w:rFonts w:hint="eastAsia"/>
              </w:rPr>
              <w:t>电话.</w:t>
            </w:r>
          </w:p>
        </w:tc>
        <w:tc>
          <w:tcPr>
            <w:tcW w:w="2180" w:type="dxa"/>
            <w:vAlign w:val="center"/>
          </w:tcPr>
          <w:p>
            <w:bookmarkStart w:id="11" w:name="联系人电话"/>
            <w:r>
              <w:t>13600753141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洪文富</w:t>
            </w:r>
            <w:bookmarkEnd w:id="13"/>
          </w:p>
        </w:tc>
        <w:tc>
          <w:tcPr>
            <w:tcW w:w="1313" w:type="dxa"/>
            <w:vAlign w:val="center"/>
          </w:tcPr>
          <w:p>
            <w:r>
              <w:rPr>
                <w:rFonts w:hint="eastAsia"/>
              </w:rPr>
              <w:t>管理者代表</w:t>
            </w:r>
          </w:p>
        </w:tc>
        <w:tc>
          <w:tcPr>
            <w:tcW w:w="2180" w:type="dxa"/>
          </w:tcPr>
          <w:p>
            <w:bookmarkStart w:id="14" w:name="管理者代表"/>
            <w:r>
              <w:t>吴天宝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06645" cy="11080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906645" cy="1108075"/>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4"/>
        <w:gridCol w:w="828"/>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2021年12月02日 下午至2021年12月04日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lang w:val="de-DE"/>
              </w:rPr>
              <w:t>RB/T</w:t>
            </w:r>
            <w:r>
              <w:rPr>
                <w:rFonts w:hint="eastAsia" w:ascii="宋体" w:hAnsi="宋体"/>
                <w:b/>
                <w:sz w:val="21"/>
                <w:szCs w:val="21"/>
                <w:lang w:val="en-US" w:eastAsia="zh-CN"/>
              </w:rPr>
              <w:t>102-2013 能源管理体系 纺织企业认证要求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晋江市深沪镇东海安工业区</w:t>
            </w:r>
            <w:r>
              <w:rPr>
                <w:rFonts w:hint="eastAsia"/>
                <w:lang w:eastAsia="zh-CN"/>
              </w:rPr>
              <w:t>（</w:t>
            </w:r>
            <w:r>
              <w:rPr>
                <w:rFonts w:hint="eastAsia"/>
                <w:lang w:val="en-US" w:eastAsia="zh-CN"/>
              </w:rPr>
              <w:t>远程：河北省石家庄市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04" w:type="dxa"/>
            <w:vMerge w:val="restart"/>
            <w:vAlign w:val="center"/>
          </w:tcPr>
          <w:p>
            <w:pPr>
              <w:jc w:val="left"/>
            </w:pPr>
            <w:r>
              <w:rPr>
                <w:rFonts w:hint="eastAsia"/>
              </w:rPr>
              <w:t>审核范围</w:t>
            </w:r>
          </w:p>
        </w:tc>
        <w:tc>
          <w:tcPr>
            <w:tcW w:w="5444" w:type="dxa"/>
            <w:gridSpan w:val="3"/>
            <w:vMerge w:val="restart"/>
            <w:vAlign w:val="center"/>
          </w:tcPr>
          <w:p>
            <w:bookmarkStart w:id="29" w:name="审核范围"/>
            <w:r>
              <w:rPr>
                <w:rFonts w:hint="eastAsia"/>
                <w:sz w:val="20"/>
                <w:lang w:val="en-US" w:eastAsia="zh-CN"/>
              </w:rPr>
              <w:t>纺织面料</w:t>
            </w:r>
            <w:r>
              <w:rPr>
                <w:sz w:val="20"/>
              </w:rPr>
              <w:t>染整</w:t>
            </w:r>
            <w:r>
              <w:rPr>
                <w:rFonts w:hint="eastAsia"/>
                <w:sz w:val="20"/>
                <w:lang w:val="en-US" w:eastAsia="zh-CN"/>
              </w:rPr>
              <w:t>加工</w:t>
            </w:r>
            <w:r>
              <w:rPr>
                <w:sz w:val="20"/>
              </w:rPr>
              <w:t>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04" w:type="dxa"/>
            <w:vMerge w:val="continue"/>
            <w:vAlign w:val="center"/>
          </w:tcPr>
          <w:p/>
        </w:tc>
        <w:tc>
          <w:tcPr>
            <w:tcW w:w="5444" w:type="dxa"/>
            <w:gridSpan w:val="3"/>
            <w:vMerge w:val="continue"/>
            <w:vAlign w:val="center"/>
          </w:tcPr>
          <w:p/>
        </w:tc>
        <w:tc>
          <w:tcPr>
            <w:tcW w:w="3215" w:type="dxa"/>
            <w:vAlign w:val="center"/>
          </w:tcPr>
          <w:p>
            <w:bookmarkStart w:id="30" w:name="专业代码"/>
            <w:r>
              <w:t>2.5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福建省联丰盛漂染植绒有限公司</w:t>
            </w:r>
            <w:r>
              <w:rPr>
                <w:rFonts w:hint="eastAsia"/>
                <w:sz w:val="21"/>
                <w:szCs w:val="21"/>
                <w:lang w:val="en-US" w:eastAsia="zh-CN"/>
              </w:rPr>
              <w:t>/</w:t>
            </w:r>
            <w:r>
              <w:rPr>
                <w:rFonts w:asciiTheme="minorEastAsia" w:hAnsiTheme="minorEastAsia" w:eastAsiaTheme="minorEastAsia"/>
                <w:sz w:val="20"/>
              </w:rPr>
              <w:t>晋江市深沪镇东海安工业区</w:t>
            </w:r>
          </w:p>
        </w:tc>
        <w:tc>
          <w:tcPr>
            <w:tcW w:w="2267" w:type="dxa"/>
          </w:tcPr>
          <w:p>
            <w:pPr>
              <w:rPr>
                <w:lang w:val="de-DE" w:eastAsia="ja-JP"/>
              </w:rPr>
            </w:pPr>
            <w:r>
              <w:rPr>
                <w:rFonts w:asciiTheme="minorEastAsia" w:hAnsiTheme="minorEastAsia" w:eastAsiaTheme="minorEastAsia"/>
                <w:sz w:val="20"/>
              </w:rPr>
              <w:t>晋江市深沪镇东海安工业区</w:t>
            </w:r>
          </w:p>
        </w:tc>
        <w:tc>
          <w:tcPr>
            <w:tcW w:w="571" w:type="dxa"/>
            <w:vAlign w:val="center"/>
          </w:tcPr>
          <w:p>
            <w:pPr>
              <w:rPr>
                <w:rFonts w:hint="default" w:eastAsia="宋体"/>
                <w:lang w:val="en-US" w:eastAsia="zh-CN"/>
              </w:rPr>
            </w:pPr>
            <w:r>
              <w:rPr>
                <w:rFonts w:hint="eastAsia"/>
                <w:lang w:val="en-US" w:eastAsia="zh-CN"/>
              </w:rPr>
              <w:t>1</w:t>
            </w:r>
            <w:bookmarkStart w:id="34" w:name="_GoBack"/>
            <w:bookmarkEnd w:id="34"/>
            <w:r>
              <w:rPr>
                <w:rFonts w:hint="eastAsia"/>
                <w:lang w:val="en-US" w:eastAsia="zh-CN"/>
              </w:rPr>
              <w:t>65</w:t>
            </w:r>
          </w:p>
        </w:tc>
        <w:tc>
          <w:tcPr>
            <w:tcW w:w="2803" w:type="dxa"/>
            <w:vAlign w:val="center"/>
          </w:tcPr>
          <w:p>
            <w:pPr>
              <w:rPr>
                <w:lang w:eastAsia="ja-JP"/>
              </w:rPr>
            </w:pPr>
            <w:r>
              <w:rPr>
                <w:rFonts w:hint="eastAsia"/>
                <w:sz w:val="20"/>
                <w:lang w:val="en-US" w:eastAsia="zh-CN"/>
              </w:rPr>
              <w:t>纺织面料</w:t>
            </w:r>
            <w:r>
              <w:rPr>
                <w:sz w:val="20"/>
              </w:rPr>
              <w:t>染整</w:t>
            </w:r>
            <w:r>
              <w:rPr>
                <w:rFonts w:hint="eastAsia"/>
                <w:sz w:val="20"/>
                <w:lang w:val="en-US" w:eastAsia="zh-CN"/>
              </w:rPr>
              <w:t>加工</w:t>
            </w:r>
            <w:r>
              <w:rPr>
                <w:sz w:val="20"/>
              </w:rPr>
              <w:t>所涉及的能源管理活动</w:t>
            </w:r>
          </w:p>
        </w:tc>
        <w:tc>
          <w:tcPr>
            <w:tcW w:w="669"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连文英</w:t>
            </w:r>
          </w:p>
        </w:tc>
        <w:tc>
          <w:tcPr>
            <w:tcW w:w="1089" w:type="dxa"/>
            <w:vAlign w:val="center"/>
          </w:tcPr>
          <w:p>
            <w:r>
              <w:t>组员</w:t>
            </w:r>
          </w:p>
        </w:tc>
        <w:tc>
          <w:tcPr>
            <w:tcW w:w="711" w:type="dxa"/>
            <w:vAlign w:val="center"/>
          </w:tcPr>
          <w:p>
            <w:r>
              <w:t>女</w:t>
            </w:r>
          </w:p>
        </w:tc>
        <w:tc>
          <w:tcPr>
            <w:tcW w:w="3870" w:type="dxa"/>
            <w:vAlign w:val="center"/>
          </w:tcPr>
          <w:p>
            <w:r>
              <w:t>ISC-JSZJ-443</w:t>
            </w:r>
          </w:p>
          <w:p>
            <w:r>
              <w:t>福建协盛协丰印染实业有限公司</w:t>
            </w:r>
          </w:p>
        </w:tc>
        <w:tc>
          <w:tcPr>
            <w:tcW w:w="2179" w:type="dxa"/>
            <w:vAlign w:val="center"/>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组员</w:t>
            </w:r>
          </w:p>
        </w:tc>
        <w:tc>
          <w:tcPr>
            <w:tcW w:w="711" w:type="dxa"/>
            <w:vAlign w:val="center"/>
          </w:tcPr>
          <w:p>
            <w:r>
              <w:t>女</w:t>
            </w:r>
          </w:p>
        </w:tc>
        <w:tc>
          <w:tcPr>
            <w:tcW w:w="3870" w:type="dxa"/>
            <w:vAlign w:val="center"/>
          </w:tcPr>
          <w:p>
            <w:r>
              <w:t>2020-N1EnMS-3021820</w:t>
            </w:r>
          </w:p>
        </w:tc>
        <w:tc>
          <w:tcPr>
            <w:tcW w:w="2179" w:type="dxa"/>
            <w:vAlign w:val="center"/>
          </w:tcPr>
          <w:p>
            <w:r>
              <w:t>2.5</w:t>
            </w:r>
          </w:p>
        </w:tc>
      </w:tr>
    </w:tbl>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lang w:eastAsia="zh-CN"/>
              </w:rPr>
              <w:t>☑</w:t>
            </w:r>
            <w:r>
              <w:rPr>
                <w:rFonts w:hint="eastAsia"/>
              </w:rPr>
              <w:t>样本量不足</w:t>
            </w:r>
          </w:p>
        </w:tc>
        <w:tc>
          <w:tcPr>
            <w:tcW w:w="5583"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lang w:eastAsia="zh-CN"/>
              </w:rPr>
              <w:t>☑</w:t>
            </w:r>
            <w:r>
              <w:rPr>
                <w:rFonts w:hint="eastAsia"/>
              </w:rPr>
              <w:t>知识产权保护</w:t>
            </w:r>
          </w:p>
        </w:tc>
        <w:tc>
          <w:tcPr>
            <w:tcW w:w="5583"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lang w:eastAsia="zh-CN"/>
              </w:rPr>
              <w:t>☑</w:t>
            </w:r>
            <w:r>
              <w:rPr>
                <w:rFonts w:hint="eastAsia"/>
              </w:rPr>
              <w:t>因受审核方信息造成的日数或审核资源不足</w:t>
            </w:r>
          </w:p>
        </w:tc>
        <w:tc>
          <w:tcPr>
            <w:tcW w:w="5583" w:type="dxa"/>
          </w:tcPr>
          <w:p>
            <w:pPr>
              <w:rPr>
                <w:rFonts w:hint="eastAsia" w:eastAsia="宋体"/>
                <w:lang w:val="en-US" w:eastAsia="zh-CN"/>
              </w:rPr>
            </w:pPr>
            <w:r>
              <w:rPr>
                <w:rFonts w:hint="eastAsia"/>
                <w:lang w:val="en-US" w:eastAsia="zh-CN"/>
              </w:rPr>
              <w:t>无</w:t>
            </w: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0" w:hRule="exact"/>
          <w:jc w:val="center"/>
        </w:trPr>
        <w:tc>
          <w:tcPr>
            <w:tcW w:w="1842" w:type="dxa"/>
          </w:tcPr>
          <w:p>
            <w:r>
              <w:rPr>
                <w:rFonts w:hint="eastAsia"/>
              </w:rPr>
              <w:t>审核组长签字</w:t>
            </w:r>
          </w:p>
        </w:tc>
        <w:tc>
          <w:tcPr>
            <w:tcW w:w="2764" w:type="dxa"/>
            <w:tcMar>
              <w:left w:w="113" w:type="dxa"/>
            </w:tcMar>
          </w:tcPr>
          <w:p/>
          <w:p>
            <w:r>
              <w:drawing>
                <wp:anchor distT="0" distB="0" distL="114300" distR="114300" simplePos="0" relativeHeight="251662336" behindDoc="1" locked="0" layoutInCell="1" allowOverlap="1">
                  <wp:simplePos x="0" y="0"/>
                  <wp:positionH relativeFrom="column">
                    <wp:posOffset>323850</wp:posOffset>
                  </wp:positionH>
                  <wp:positionV relativeFrom="paragraph">
                    <wp:posOffset>-4909185</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停电的风险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eastAsia="宋体"/>
                      <w:lang w:val="en-US" w:eastAsia="zh-CN"/>
                    </w:rPr>
                    <w:t>蒸汽供应的风险</w:t>
                  </w:r>
                </w:p>
              </w:tc>
              <w:tc>
                <w:tcPr>
                  <w:tcW w:w="3965" w:type="dxa"/>
                </w:tcPr>
                <w:p>
                  <w:pPr>
                    <w:shd w:val="clear" w:color="auto" w:fill="EBF1DE" w:themeFill="accent3" w:themeFillTint="32"/>
                    <w:rPr>
                      <w:rFonts w:hint="default" w:eastAsia="宋体"/>
                      <w:lang w:val="en-US" w:eastAsia="zh-CN"/>
                    </w:rPr>
                  </w:pPr>
                  <w:r>
                    <w:rPr>
                      <w:rFonts w:hint="eastAsia" w:eastAsia="宋体"/>
                      <w:lang w:val="en-US" w:eastAsia="zh-CN"/>
                    </w:rPr>
                    <w:t>与蒸汽供应商签订长期合同</w:t>
                  </w:r>
                </w:p>
              </w:tc>
              <w:tc>
                <w:tcPr>
                  <w:tcW w:w="1717" w:type="dxa"/>
                </w:tcPr>
                <w:p>
                  <w:pPr>
                    <w:shd w:val="clear" w:color="auto" w:fill="EBF1DE" w:themeFill="accent3" w:themeFillTint="32"/>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lang w:eastAsia="zh-CN"/>
              </w:rPr>
              <w:t>☑</w:t>
            </w:r>
            <w:r>
              <w:rPr>
                <w:rFonts w:hint="eastAsia"/>
              </w:rPr>
              <w:t>蒸汽</w:t>
            </w:r>
            <w:r>
              <w:rPr>
                <w:rFonts w:hint="eastAsia"/>
                <w:lang w:eastAsia="zh-CN"/>
              </w:rPr>
              <w:t>□</w:t>
            </w:r>
            <w:r>
              <w:rPr>
                <w:rFonts w:hint="eastAsia"/>
              </w:rPr>
              <w:t>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2021.10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w:t>
            </w:r>
            <w:r>
              <w:rPr>
                <w:rFonts w:hint="eastAsia"/>
                <w:lang w:eastAsia="zh-CN"/>
              </w:rPr>
              <w:t>□</w:t>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19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930"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lang w:val="en-US" w:eastAsia="zh-CN"/>
                    </w:rPr>
                    <w:t>单位产品能耗</w:t>
                  </w:r>
                  <w:r>
                    <w:rPr>
                      <w:rFonts w:hint="eastAsia" w:ascii="宋体" w:hAnsi="宋体" w:eastAsia="宋体" w:cs="宋体"/>
                      <w:kern w:val="2"/>
                      <w:sz w:val="24"/>
                      <w:szCs w:val="24"/>
                      <w:lang w:val="en-US" w:eastAsia="zh-CN" w:bidi="ar-SA"/>
                    </w:rPr>
                    <w:t>≦</w:t>
                  </w:r>
                  <w:r>
                    <w:rPr>
                      <w:rFonts w:hint="eastAsia" w:ascii="Times New Roman" w:hAnsi="Times New Roman" w:eastAsia="宋体" w:cs="Times New Roman"/>
                      <w:lang w:val="en-US" w:eastAsia="zh-CN"/>
                    </w:rPr>
                    <w:t>1393.12kgce/万米</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加强生产管理，保持生产稳定；避免经常停车，进行大规模批量生产</w:t>
                  </w:r>
                </w:p>
              </w:tc>
              <w:tc>
                <w:tcPr>
                  <w:tcW w:w="1194"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930"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1480.61kgce/万米</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39"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cs="Times New Roman"/>
                <w:u w:val="single"/>
                <w:lang w:val="en-US" w:eastAsia="zh-CN"/>
              </w:rPr>
            </w:pPr>
            <w:r>
              <w:rPr>
                <w:rFonts w:hint="eastAsia"/>
              </w:rPr>
              <w:t>建筑面积</w:t>
            </w:r>
            <w:r>
              <w:rPr>
                <w:rFonts w:hint="eastAsia"/>
                <w:lang w:val="en-US" w:eastAsia="zh-CN"/>
              </w:rPr>
              <w:t>建筑</w:t>
            </w:r>
            <w:r>
              <w:rPr>
                <w:rFonts w:hint="eastAsia" w:cs="Times New Roman"/>
                <w:u w:val="single"/>
                <w:lang w:val="en-US" w:eastAsia="zh-CN"/>
              </w:rPr>
              <w:t>面积48418平方米</w:t>
            </w:r>
            <w:r>
              <w:rPr>
                <w:rFonts w:hint="eastAsia"/>
                <w:lang w:val="en-US" w:eastAsia="zh-CN"/>
              </w:rPr>
              <w:t>；</w:t>
            </w:r>
            <w:r>
              <w:rPr>
                <w:rFonts w:hint="eastAsia" w:cs="Times New Roman"/>
                <w:u w:val="single"/>
                <w:lang w:val="en-US" w:eastAsia="zh-CN"/>
              </w:rPr>
              <w:t>生产车间4个：前处理车间、染色车间、卷染车间、后整理车间；库房4个：坯布仓库、成品仓库、原料仓库、配件仓库；实验室1个。；</w:t>
            </w:r>
          </w:p>
          <w:p>
            <w:pPr>
              <w:shd w:val="clear" w:color="auto" w:fill="EBF1DE" w:themeFill="accent3" w:themeFillTint="32"/>
              <w:rPr>
                <w:u w:val="single"/>
              </w:rPr>
            </w:pPr>
            <w:r>
              <w:rPr>
                <w:rFonts w:hint="eastAsia"/>
              </w:rPr>
              <w:t>主要生产设备有：</w:t>
            </w:r>
            <w:r>
              <w:rPr>
                <w:rFonts w:hint="eastAsia" w:cs="Times New Roman"/>
                <w:u w:val="single"/>
                <w:lang w:val="en-US" w:eastAsia="zh-CN"/>
              </w:rPr>
              <w:t>卷染机、长车轧染流水线、定</w:t>
            </w:r>
            <w:r>
              <w:rPr>
                <w:rFonts w:hint="eastAsia" w:ascii="Times New Roman" w:hAnsi="Times New Roman" w:eastAsia="宋体" w:cs="Times New Roman"/>
                <w:u w:val="single"/>
                <w:lang w:val="en-US" w:eastAsia="zh-CN"/>
              </w:rPr>
              <w:t>型机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空压机、</w:t>
            </w:r>
            <w:r>
              <w:rPr>
                <w:rFonts w:hint="eastAsia" w:cs="Times New Roman"/>
                <w:u w:val="single"/>
                <w:lang w:val="en-US" w:eastAsia="zh-CN"/>
              </w:rPr>
              <w:t>卷染机、长车轧染流水线、</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eastAsia="宋体"/>
                <w:u w:val="single"/>
                <w:lang w:val="en-US" w:eastAsia="zh-CN"/>
              </w:rPr>
              <w:t>电表、水表、蒸汽流量表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eastAsia="宋体"/>
                <w:u w:val="single"/>
                <w:lang w:val="en-US" w:eastAsia="zh-CN"/>
              </w:rPr>
              <w:t>由供应部门负责校检。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操作规程</w:t>
            </w:r>
            <w:r>
              <w:rPr>
                <w:rFonts w:hint="eastAsia" w:ascii="Times New Roman" w:hAnsi="Times New Roman" w:eastAsia="宋体" w:cs="Times New Roman"/>
                <w:lang w:eastAsia="zh-CN"/>
              </w:rPr>
              <w:t>☑</w:t>
            </w:r>
            <w:r>
              <w:rPr>
                <w:rFonts w:hint="eastAsia" w:ascii="Times New Roman" w:hAnsi="Times New Roman" w:eastAsia="宋体" w:cs="Times New Roman"/>
              </w:rPr>
              <w:t>作业文件</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t>☑</w:t>
            </w:r>
            <w:r>
              <w:rPr>
                <w:rFonts w:hint="eastAsia" w:ascii="Times New Roman" w:hAnsi="Times New Roman" w:eastAsia="宋体" w:cs="Times New Roman"/>
              </w:rPr>
              <w:t>接收准则</w:t>
            </w:r>
            <w:r>
              <w:rPr>
                <w:rFonts w:hint="eastAsia" w:ascii="Times New Roman" w:hAnsi="Times New Roman" w:eastAsia="宋体" w:cs="Times New Roman"/>
                <w:lang w:eastAsia="zh-CN"/>
              </w:rPr>
              <w:t>☑</w:t>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杜绝跑冒滴漏、节约用汽</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利用配套的电机，节约用电。</w:t>
                  </w:r>
                </w:p>
              </w:tc>
              <w:tc>
                <w:tcPr>
                  <w:tcW w:w="3265" w:type="dxa"/>
                </w:tcPr>
                <w:p>
                  <w:pPr>
                    <w:shd w:val="clear" w:color="auto" w:fill="EBF1DE" w:themeFill="accent3" w:themeFillTint="32"/>
                    <w:jc w:val="left"/>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5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542"/>
        <w:gridCol w:w="633"/>
        <w:gridCol w:w="611"/>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542"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633"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11"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23"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42"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1"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2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42" w:type="dxa"/>
            <w:shd w:val="clear" w:color="auto" w:fill="EBF1DE" w:themeFill="accent3" w:themeFillTint="32"/>
            <w:vAlign w:val="center"/>
          </w:tcPr>
          <w:p>
            <w:pPr>
              <w:shd w:val="clear" w:color="auto" w:fill="EBF1DE" w:themeFill="accent3" w:themeFillTint="32"/>
              <w:rPr>
                <w:lang w:eastAsia="ja-JP"/>
              </w:rPr>
            </w:pPr>
          </w:p>
        </w:tc>
        <w:tc>
          <w:tcPr>
            <w:tcW w:w="633" w:type="dxa"/>
            <w:shd w:val="clear" w:color="auto" w:fill="EBF1DE" w:themeFill="accent3" w:themeFillTint="32"/>
            <w:vAlign w:val="center"/>
          </w:tcPr>
          <w:p>
            <w:pPr>
              <w:shd w:val="clear" w:color="auto" w:fill="EBF1DE" w:themeFill="accent3" w:themeFillTint="32"/>
              <w:rPr>
                <w:lang w:eastAsia="ja-JP"/>
              </w:rPr>
            </w:pPr>
          </w:p>
        </w:tc>
        <w:tc>
          <w:tcPr>
            <w:tcW w:w="611" w:type="dxa"/>
            <w:shd w:val="clear" w:color="auto" w:fill="EBF1DE" w:themeFill="accent3" w:themeFillTint="32"/>
            <w:vAlign w:val="center"/>
          </w:tcPr>
          <w:p>
            <w:pPr>
              <w:shd w:val="clear" w:color="auto" w:fill="EBF1DE" w:themeFill="accent3" w:themeFillTint="32"/>
              <w:rPr>
                <w:lang w:eastAsia="ja-JP"/>
              </w:rPr>
            </w:pPr>
          </w:p>
        </w:tc>
        <w:tc>
          <w:tcPr>
            <w:tcW w:w="72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542" w:type="dxa"/>
            <w:shd w:val="clear" w:color="auto" w:fill="EBF1DE" w:themeFill="accent3" w:themeFillTint="32"/>
            <w:vAlign w:val="center"/>
          </w:tcPr>
          <w:p>
            <w:pPr>
              <w:shd w:val="clear" w:color="auto" w:fill="EBF1DE" w:themeFill="accent3" w:themeFillTint="32"/>
            </w:pPr>
            <w:r>
              <w:rPr>
                <w:rFonts w:hint="eastAsia"/>
              </w:rPr>
              <w:t>7.4</w:t>
            </w:r>
          </w:p>
        </w:tc>
        <w:tc>
          <w:tcPr>
            <w:tcW w:w="633" w:type="dxa"/>
            <w:shd w:val="clear" w:color="auto" w:fill="EBF1DE" w:themeFill="accent3" w:themeFillTint="32"/>
            <w:vAlign w:val="center"/>
          </w:tcPr>
          <w:p>
            <w:pPr>
              <w:shd w:val="clear" w:color="auto" w:fill="EBF1DE" w:themeFill="accent3" w:themeFillTint="32"/>
            </w:pPr>
            <w:r>
              <w:rPr>
                <w:rFonts w:hint="eastAsia"/>
              </w:rPr>
              <w:t>7.5</w:t>
            </w:r>
          </w:p>
        </w:tc>
        <w:tc>
          <w:tcPr>
            <w:tcW w:w="611"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23"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42"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1"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2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42" w:type="dxa"/>
            <w:shd w:val="clear" w:color="auto" w:fill="EBF1DE" w:themeFill="accent3" w:themeFillTint="32"/>
            <w:vAlign w:val="center"/>
          </w:tcPr>
          <w:p>
            <w:pPr>
              <w:shd w:val="clear" w:color="auto" w:fill="EBF1DE" w:themeFill="accent3" w:themeFillTint="32"/>
              <w:rPr>
                <w:lang w:eastAsia="ja-JP"/>
              </w:rPr>
            </w:pPr>
          </w:p>
        </w:tc>
        <w:tc>
          <w:tcPr>
            <w:tcW w:w="633" w:type="dxa"/>
            <w:shd w:val="clear" w:color="auto" w:fill="EBF1DE" w:themeFill="accent3" w:themeFillTint="32"/>
            <w:vAlign w:val="center"/>
          </w:tcPr>
          <w:p>
            <w:pPr>
              <w:shd w:val="clear" w:color="auto" w:fill="EBF1DE" w:themeFill="accent3" w:themeFillTint="32"/>
              <w:rPr>
                <w:lang w:eastAsia="ja-JP"/>
              </w:rPr>
            </w:pPr>
          </w:p>
        </w:tc>
        <w:tc>
          <w:tcPr>
            <w:tcW w:w="611" w:type="dxa"/>
            <w:shd w:val="clear" w:color="auto" w:fill="EBF1DE" w:themeFill="accent3" w:themeFillTint="32"/>
            <w:vAlign w:val="center"/>
          </w:tcPr>
          <w:p>
            <w:pPr>
              <w:shd w:val="clear" w:color="auto" w:fill="EBF1DE" w:themeFill="accent3" w:themeFillTint="32"/>
              <w:rPr>
                <w:lang w:eastAsia="ja-JP"/>
              </w:rPr>
            </w:pPr>
          </w:p>
        </w:tc>
        <w:tc>
          <w:tcPr>
            <w:tcW w:w="72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542" w:type="dxa"/>
            <w:shd w:val="clear" w:color="auto" w:fill="EBF1DE" w:themeFill="accent3" w:themeFillTint="32"/>
            <w:vAlign w:val="center"/>
          </w:tcPr>
          <w:p>
            <w:pPr>
              <w:shd w:val="clear" w:color="auto" w:fill="EBF1DE" w:themeFill="accent3" w:themeFillTint="32"/>
              <w:rPr>
                <w:lang w:eastAsia="ja-JP"/>
              </w:rPr>
            </w:pPr>
          </w:p>
        </w:tc>
        <w:tc>
          <w:tcPr>
            <w:tcW w:w="633" w:type="dxa"/>
            <w:shd w:val="clear" w:color="auto" w:fill="EBF1DE" w:themeFill="accent3" w:themeFillTint="32"/>
            <w:vAlign w:val="center"/>
          </w:tcPr>
          <w:p>
            <w:pPr>
              <w:shd w:val="clear" w:color="auto" w:fill="EBF1DE" w:themeFill="accent3" w:themeFillTint="32"/>
              <w:rPr>
                <w:lang w:eastAsia="ja-JP"/>
              </w:rPr>
            </w:pPr>
          </w:p>
        </w:tc>
        <w:tc>
          <w:tcPr>
            <w:tcW w:w="611" w:type="dxa"/>
            <w:shd w:val="clear" w:color="auto" w:fill="EBF1DE" w:themeFill="accent3" w:themeFillTint="32"/>
            <w:vAlign w:val="center"/>
          </w:tcPr>
          <w:p>
            <w:pPr>
              <w:shd w:val="clear" w:color="auto" w:fill="EBF1DE" w:themeFill="accent3" w:themeFillTint="32"/>
              <w:rPr>
                <w:lang w:eastAsia="ja-JP"/>
              </w:rPr>
            </w:pPr>
          </w:p>
        </w:tc>
        <w:tc>
          <w:tcPr>
            <w:tcW w:w="72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542" w:type="dxa"/>
            <w:shd w:val="clear" w:color="auto" w:fill="EBF1DE" w:themeFill="accent3" w:themeFillTint="32"/>
            <w:vAlign w:val="center"/>
          </w:tcPr>
          <w:p>
            <w:pPr>
              <w:shd w:val="clear" w:color="auto" w:fill="EBF1DE" w:themeFill="accent3" w:themeFillTint="32"/>
              <w:rPr>
                <w:lang w:eastAsia="ja-JP"/>
              </w:rPr>
            </w:pPr>
          </w:p>
        </w:tc>
        <w:tc>
          <w:tcPr>
            <w:tcW w:w="633" w:type="dxa"/>
            <w:shd w:val="clear" w:color="auto" w:fill="EBF1DE" w:themeFill="accent3" w:themeFillTint="32"/>
            <w:vAlign w:val="center"/>
          </w:tcPr>
          <w:p>
            <w:pPr>
              <w:shd w:val="clear" w:color="auto" w:fill="EBF1DE" w:themeFill="accent3" w:themeFillTint="32"/>
              <w:rPr>
                <w:lang w:eastAsia="ja-JP"/>
              </w:rPr>
            </w:pPr>
          </w:p>
        </w:tc>
        <w:tc>
          <w:tcPr>
            <w:tcW w:w="611" w:type="dxa"/>
            <w:shd w:val="clear" w:color="auto" w:fill="EBF1DE" w:themeFill="accent3" w:themeFillTint="32"/>
            <w:vAlign w:val="center"/>
          </w:tcPr>
          <w:p>
            <w:pPr>
              <w:shd w:val="clear" w:color="auto" w:fill="EBF1DE" w:themeFill="accent3" w:themeFillTint="32"/>
              <w:rPr>
                <w:lang w:eastAsia="ja-JP"/>
              </w:rPr>
            </w:pPr>
          </w:p>
        </w:tc>
        <w:tc>
          <w:tcPr>
            <w:tcW w:w="72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542" w:type="dxa"/>
            <w:shd w:val="clear" w:color="auto" w:fill="EBF1DE" w:themeFill="accent3" w:themeFillTint="32"/>
            <w:vAlign w:val="center"/>
          </w:tcPr>
          <w:p>
            <w:pPr>
              <w:shd w:val="clear" w:color="auto" w:fill="EBF1DE" w:themeFill="accent3" w:themeFillTint="32"/>
              <w:rPr>
                <w:lang w:eastAsia="ja-JP"/>
              </w:rPr>
            </w:pPr>
          </w:p>
        </w:tc>
        <w:tc>
          <w:tcPr>
            <w:tcW w:w="633" w:type="dxa"/>
            <w:shd w:val="clear" w:color="auto" w:fill="EBF1DE" w:themeFill="accent3" w:themeFillTint="32"/>
            <w:vAlign w:val="center"/>
          </w:tcPr>
          <w:p>
            <w:pPr>
              <w:shd w:val="clear" w:color="auto" w:fill="EBF1DE" w:themeFill="accent3" w:themeFillTint="32"/>
              <w:rPr>
                <w:lang w:eastAsia="ja-JP"/>
              </w:rPr>
            </w:pPr>
          </w:p>
        </w:tc>
        <w:tc>
          <w:tcPr>
            <w:tcW w:w="611" w:type="dxa"/>
            <w:shd w:val="clear" w:color="auto" w:fill="EBF1DE" w:themeFill="accent3" w:themeFillTint="32"/>
            <w:vAlign w:val="center"/>
          </w:tcPr>
          <w:p>
            <w:pPr>
              <w:shd w:val="clear" w:color="auto" w:fill="EBF1DE" w:themeFill="accent3" w:themeFillTint="32"/>
              <w:rPr>
                <w:lang w:eastAsia="ja-JP"/>
              </w:rPr>
            </w:pPr>
          </w:p>
        </w:tc>
        <w:tc>
          <w:tcPr>
            <w:tcW w:w="723"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D685CAF"/>
    <w:rsid w:val="3A347710"/>
    <w:rsid w:val="3AF220A9"/>
    <w:rsid w:val="3F156BCA"/>
    <w:rsid w:val="42B26235"/>
    <w:rsid w:val="45CD6E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2021-12-06T08:27:37Z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