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晋江市龙兴隆染织实业有限公司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12" w:name="_GoBack"/>
            <w:bookmarkEnd w:id="12"/>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1149-2021-EnMs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李丽英</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武林</w:t>
            </w:r>
          </w:p>
        </w:tc>
        <w:tc>
          <w:tcPr>
            <w:tcW w:w="1184" w:type="dxa"/>
            <w:vAlign w:val="center"/>
          </w:tcPr>
          <w:p>
            <w:pPr>
              <w:snapToGrid w:val="0"/>
              <w:spacing w:line="320" w:lineRule="exact"/>
              <w:ind w:firstLine="552" w:firstLineChars="250"/>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widowControl/>
              <w:jc w:val="both"/>
              <w:rPr>
                <w:b/>
                <w:sz w:val="22"/>
                <w:szCs w:val="22"/>
                <w:highlight w:val="yellow"/>
              </w:rPr>
            </w:pPr>
            <w:r>
              <w:rPr>
                <w:rFonts w:ascii="宋体" w:hAnsi="宋体" w:cs="宋体"/>
                <w:color w:val="000000"/>
                <w:kern w:val="0"/>
                <w:szCs w:val="21"/>
              </w:rPr>
              <w:t>ISC-JSZJ-429</w:t>
            </w:r>
            <w:r>
              <w:rPr>
                <w:rFonts w:hint="eastAsia" w:ascii="宋体" w:hAnsi="宋体" w:cs="宋体"/>
                <w:color w:val="000000"/>
                <w:kern w:val="0"/>
                <w:szCs w:val="21"/>
                <w:lang w:val="en-US" w:eastAsia="zh-CN"/>
              </w:rPr>
              <w:t xml:space="preserve">  </w:t>
            </w:r>
            <w:r>
              <w:rPr>
                <w:rFonts w:ascii="宋体" w:hAnsi="宋体" w:cs="宋体"/>
                <w:color w:val="000000"/>
                <w:kern w:val="0"/>
                <w:szCs w:val="21"/>
              </w:rPr>
              <w:t>石狮市宏兴染整织造有限公司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6854EE"/>
    <w:rsid w:val="3A776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2021-11-26T03:09:06Z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