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1152-2021-EnMs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石狮市龙兴隆染织实业有限公司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石狮市龙兴隆染织实业有限公司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石狮市锦尚工业区</w:t>
            </w:r>
            <w:bookmarkEnd w:id="6"/>
          </w:p>
        </w:tc>
        <w:tc>
          <w:tcPr>
            <w:tcW w:w="1242" w:type="dxa"/>
            <w:vMerge w:val="restart"/>
            <w:vAlign w:val="center"/>
          </w:tcPr>
          <w:p>
            <w:r>
              <w:rPr>
                <w:rFonts w:hint="eastAsia"/>
              </w:rPr>
              <w:t>邮编</w:t>
            </w:r>
          </w:p>
        </w:tc>
        <w:tc>
          <w:tcPr>
            <w:tcW w:w="1771" w:type="dxa"/>
          </w:tcPr>
          <w:p>
            <w:bookmarkStart w:id="7" w:name="注册邮编"/>
            <w:r>
              <w:t>362712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石狮市锦尚工业区</w:t>
            </w:r>
            <w:bookmarkEnd w:id="8"/>
          </w:p>
        </w:tc>
        <w:tc>
          <w:tcPr>
            <w:tcW w:w="1242" w:type="dxa"/>
            <w:vMerge w:val="continue"/>
            <w:vAlign w:val="center"/>
          </w:tcPr>
          <w:p/>
        </w:tc>
        <w:tc>
          <w:tcPr>
            <w:tcW w:w="1771" w:type="dxa"/>
          </w:tcPr>
          <w:p>
            <w:bookmarkStart w:id="9" w:name="办公邮编"/>
            <w:r>
              <w:t>362712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陈建平</w:t>
            </w:r>
            <w:bookmarkEnd w:id="10"/>
          </w:p>
        </w:tc>
        <w:tc>
          <w:tcPr>
            <w:tcW w:w="1313" w:type="dxa"/>
            <w:vAlign w:val="center"/>
          </w:tcPr>
          <w:p>
            <w:r>
              <w:rPr>
                <w:rFonts w:hint="eastAsia"/>
              </w:rPr>
              <w:t>电话.</w:t>
            </w:r>
          </w:p>
        </w:tc>
        <w:tc>
          <w:tcPr>
            <w:tcW w:w="2180" w:type="dxa"/>
            <w:vAlign w:val="center"/>
          </w:tcPr>
          <w:p>
            <w:bookmarkStart w:id="11" w:name="联系人电话"/>
            <w:r>
              <w:t>13959907760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刘德庆</w:t>
            </w:r>
            <w:bookmarkEnd w:id="13"/>
          </w:p>
        </w:tc>
        <w:tc>
          <w:tcPr>
            <w:tcW w:w="1313" w:type="dxa"/>
            <w:vAlign w:val="center"/>
          </w:tcPr>
          <w:p>
            <w:r>
              <w:rPr>
                <w:rFonts w:hint="eastAsia"/>
              </w:rPr>
              <w:t>管理者代表</w:t>
            </w:r>
          </w:p>
        </w:tc>
        <w:tc>
          <w:tcPr>
            <w:tcW w:w="2180" w:type="dxa"/>
          </w:tcPr>
          <w:p>
            <w:bookmarkStart w:id="14" w:name="管理者代表"/>
            <w:r>
              <w:t>陈建平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08550" cy="34861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08550" cy="348615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886"/>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2021年11月23日 上午至2021年11月24日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default" w:ascii="宋体" w:hAnsi="宋体"/>
                <w:b/>
                <w:sz w:val="21"/>
                <w:szCs w:val="21"/>
              </w:rPr>
              <w:t>RB</w:t>
            </w:r>
            <w:r>
              <w:rPr>
                <w:rFonts w:hint="eastAsia" w:ascii="宋体" w:hAnsi="宋体"/>
                <w:b/>
                <w:sz w:val="21"/>
                <w:szCs w:val="21"/>
                <w:lang w:val="en-US" w:eastAsia="zh-CN"/>
              </w:rPr>
              <w:t>/</w:t>
            </w:r>
            <w:r>
              <w:rPr>
                <w:rFonts w:hint="default" w:ascii="宋体" w:hAnsi="宋体"/>
                <w:b/>
                <w:sz w:val="21"/>
                <w:szCs w:val="21"/>
              </w:rPr>
              <w:t>T102-2013</w:t>
            </w:r>
            <w:r>
              <w:rPr>
                <w:rFonts w:hint="eastAsia" w:ascii="宋体" w:hAnsi="宋体"/>
                <w:b/>
                <w:sz w:val="21"/>
                <w:szCs w:val="21"/>
                <w:lang w:val="en-US" w:eastAsia="zh-CN"/>
              </w:rPr>
              <w:t xml:space="preserve">  </w:t>
            </w:r>
            <w:r>
              <w:rPr>
                <w:rFonts w:hint="default" w:ascii="宋体" w:hAnsi="宋体"/>
                <w:b/>
                <w:sz w:val="21"/>
                <w:szCs w:val="21"/>
              </w:rPr>
              <w:fldChar w:fldCharType="begin"/>
            </w:r>
            <w:r>
              <w:rPr>
                <w:rFonts w:hint="default" w:ascii="宋体" w:hAnsi="宋体"/>
                <w:b/>
                <w:sz w:val="21"/>
                <w:szCs w:val="21"/>
              </w:rPr>
              <w:instrText xml:space="preserve"> HYPERLINK "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 "https://www.so.com/_blank" </w:instrText>
            </w:r>
            <w:r>
              <w:rPr>
                <w:rFonts w:hint="default" w:ascii="宋体" w:hAnsi="宋体"/>
                <w:b/>
                <w:sz w:val="21"/>
                <w:szCs w:val="21"/>
              </w:rPr>
              <w:fldChar w:fldCharType="separate"/>
            </w:r>
            <w:r>
              <w:rPr>
                <w:rFonts w:hint="default" w:ascii="宋体" w:hAnsi="宋体"/>
                <w:b/>
                <w:sz w:val="21"/>
                <w:szCs w:val="21"/>
              </w:rPr>
              <w:t>能源管理体系</w:t>
            </w:r>
            <w:r>
              <w:rPr>
                <w:rFonts w:hint="eastAsia" w:ascii="宋体" w:hAnsi="宋体"/>
                <w:b/>
                <w:sz w:val="21"/>
                <w:szCs w:val="21"/>
                <w:lang w:val="en-US" w:eastAsia="zh-CN"/>
              </w:rPr>
              <w:t>-</w:t>
            </w:r>
            <w:r>
              <w:rPr>
                <w:rFonts w:hint="default" w:ascii="宋体" w:hAnsi="宋体"/>
                <w:b/>
                <w:sz w:val="21"/>
                <w:szCs w:val="21"/>
              </w:rPr>
              <w:t>纺织企业认证要求</w:t>
            </w:r>
            <w:r>
              <w:rPr>
                <w:rFonts w:hint="default" w:ascii="宋体" w:hAnsi="宋体"/>
                <w:b/>
                <w:sz w:val="21"/>
                <w:szCs w:val="21"/>
              </w:rPr>
              <w:fldChar w:fldCharType="end"/>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石狮市锦尚工业区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6" w:type="dxa"/>
            <w:vMerge w:val="restart"/>
            <w:vAlign w:val="center"/>
          </w:tcPr>
          <w:p>
            <w:r>
              <w:rPr>
                <w:rFonts w:hint="eastAsia"/>
              </w:rPr>
              <w:t>审核范围</w:t>
            </w:r>
          </w:p>
        </w:tc>
        <w:tc>
          <w:tcPr>
            <w:tcW w:w="5502" w:type="dxa"/>
            <w:gridSpan w:val="3"/>
            <w:vMerge w:val="restart"/>
            <w:vAlign w:val="center"/>
          </w:tcPr>
          <w:p>
            <w:bookmarkStart w:id="29" w:name="审核范围"/>
            <w:r>
              <w:rPr>
                <w:rFonts w:hint="eastAsia"/>
                <w:sz w:val="20"/>
                <w:lang w:val="en-US" w:eastAsia="zh-CN"/>
              </w:rPr>
              <w:t>纺织面料的染整</w:t>
            </w:r>
            <w:r>
              <w:rPr>
                <w:sz w:val="20"/>
              </w:rPr>
              <w:t>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46" w:type="dxa"/>
            <w:vMerge w:val="continue"/>
            <w:vAlign w:val="center"/>
          </w:tcPr>
          <w:p/>
        </w:tc>
        <w:tc>
          <w:tcPr>
            <w:tcW w:w="5502" w:type="dxa"/>
            <w:gridSpan w:val="3"/>
            <w:vMerge w:val="continue"/>
            <w:vAlign w:val="center"/>
          </w:tcPr>
          <w:p/>
        </w:tc>
        <w:tc>
          <w:tcPr>
            <w:tcW w:w="3215" w:type="dxa"/>
            <w:vAlign w:val="center"/>
          </w:tcPr>
          <w:p>
            <w:bookmarkStart w:id="30" w:name="专业代码"/>
            <w:r>
              <w:t>2.5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石狮市龙兴隆染织实业有限公司</w:t>
            </w:r>
            <w:r>
              <w:rPr>
                <w:rFonts w:hint="eastAsia"/>
                <w:lang w:val="en-US" w:eastAsia="zh-CN"/>
              </w:rPr>
              <w:t>/</w:t>
            </w:r>
            <w:r>
              <w:t>石狮市锦尚工业区</w:t>
            </w:r>
          </w:p>
        </w:tc>
        <w:tc>
          <w:tcPr>
            <w:tcW w:w="2267" w:type="dxa"/>
          </w:tcPr>
          <w:p>
            <w:pPr>
              <w:rPr>
                <w:lang w:val="de-DE" w:eastAsia="ja-JP"/>
              </w:rPr>
            </w:pPr>
            <w:r>
              <w:t>石狮市锦尚工业区</w:t>
            </w:r>
          </w:p>
        </w:tc>
        <w:tc>
          <w:tcPr>
            <w:tcW w:w="571" w:type="dxa"/>
            <w:vAlign w:val="center"/>
          </w:tcPr>
          <w:p>
            <w:pPr>
              <w:rPr>
                <w:lang w:eastAsia="ja-JP"/>
              </w:rPr>
            </w:pPr>
            <w:bookmarkStart w:id="31" w:name="体系人数"/>
            <w:r>
              <w:rPr>
                <w:sz w:val="22"/>
                <w:szCs w:val="22"/>
              </w:rPr>
              <w:t>124</w:t>
            </w:r>
            <w:bookmarkEnd w:id="31"/>
          </w:p>
        </w:tc>
        <w:tc>
          <w:tcPr>
            <w:tcW w:w="2803" w:type="dxa"/>
            <w:vAlign w:val="center"/>
          </w:tcPr>
          <w:p>
            <w:pPr>
              <w:rPr>
                <w:lang w:eastAsia="ja-JP"/>
              </w:rPr>
            </w:pPr>
            <w:r>
              <w:rPr>
                <w:sz w:val="22"/>
                <w:szCs w:val="22"/>
              </w:rPr>
              <w:t>染织生产所涉及的能源管理活动</w:t>
            </w:r>
          </w:p>
        </w:tc>
        <w:tc>
          <w:tcPr>
            <w:tcW w:w="669"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w:t>
            </w:r>
            <w:r>
              <w:rPr>
                <w:rFonts w:hint="eastAsia"/>
                <w:lang w:val="en-US" w:eastAsia="zh-CN"/>
              </w:rPr>
              <w:t xml:space="preserve">  </w:t>
            </w:r>
            <w:r>
              <w:t>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w:t>
            </w:r>
            <w:r>
              <w:rPr>
                <w:rFonts w:hint="eastAsia"/>
                <w:lang w:val="en-US" w:eastAsia="zh-CN"/>
              </w:rPr>
              <w:t xml:space="preserve">  </w:t>
            </w:r>
            <w:r>
              <w:t>峰</w:t>
            </w:r>
          </w:p>
        </w:tc>
        <w:tc>
          <w:tcPr>
            <w:tcW w:w="1089" w:type="dxa"/>
            <w:vAlign w:val="center"/>
          </w:tcPr>
          <w:p>
            <w:r>
              <w:t>组员</w:t>
            </w:r>
          </w:p>
        </w:tc>
        <w:tc>
          <w:tcPr>
            <w:tcW w:w="711" w:type="dxa"/>
            <w:vAlign w:val="center"/>
          </w:tcPr>
          <w:p>
            <w:r>
              <w:t>男</w:t>
            </w:r>
          </w:p>
        </w:tc>
        <w:tc>
          <w:tcPr>
            <w:tcW w:w="3870" w:type="dxa"/>
            <w:vAlign w:val="center"/>
          </w:tcPr>
          <w:p>
            <w:r>
              <w:t>ISC-JSZJ-420</w:t>
            </w:r>
          </w:p>
          <w:p>
            <w:r>
              <w:t>信诚染织(福建)有限公司</w:t>
            </w:r>
          </w:p>
        </w:tc>
        <w:tc>
          <w:tcPr>
            <w:tcW w:w="2179" w:type="dxa"/>
            <w:vAlign w:val="center"/>
          </w:tcPr>
          <w:p>
            <w:r>
              <w:t>2.5</w:t>
            </w:r>
          </w:p>
        </w:tc>
      </w:tr>
      <w:tr>
        <w:tblPrEx>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870" w:type="dxa"/>
            <w:vAlign w:val="center"/>
          </w:tcPr>
          <w:p>
            <w:r>
              <w:t>2020-N1EnMS-3021820</w:t>
            </w:r>
          </w:p>
        </w:tc>
        <w:tc>
          <w:tcPr>
            <w:tcW w:w="2179" w:type="dxa"/>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组员</w:t>
            </w:r>
          </w:p>
        </w:tc>
        <w:tc>
          <w:tcPr>
            <w:tcW w:w="711" w:type="dxa"/>
            <w:vAlign w:val="center"/>
          </w:tcPr>
          <w:p>
            <w:r>
              <w:t>女</w:t>
            </w:r>
          </w:p>
        </w:tc>
        <w:tc>
          <w:tcPr>
            <w:tcW w:w="3870" w:type="dxa"/>
            <w:vAlign w:val="center"/>
          </w:tcPr>
          <w:p>
            <w:r>
              <w:t>2021-N1EnMS-1014142</w:t>
            </w: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9" w:hRule="exact"/>
          <w:jc w:val="center"/>
        </w:trPr>
        <w:tc>
          <w:tcPr>
            <w:tcW w:w="1842" w:type="dxa"/>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审核组长签字</w:t>
            </w:r>
          </w:p>
        </w:tc>
        <w:tc>
          <w:tcPr>
            <w:tcW w:w="2764" w:type="dxa"/>
            <w:tcMar>
              <w:left w:w="113" w:type="dxa"/>
            </w:tcMar>
          </w:tcPr>
          <w:p>
            <w:pPr>
              <w:jc w:val="center"/>
              <w:rPr>
                <w:rFonts w:hint="eastAsia" w:ascii="Times New Roman" w:hAnsi="Times New Roman" w:eastAsia="宋体" w:cs="Times New Roman"/>
              </w:rPr>
            </w:pPr>
            <w:r>
              <w:rPr>
                <w:rFonts w:hint="eastAsia" w:ascii="Times New Roman" w:hAnsi="Times New Roman" w:eastAsia="宋体" w:cs="Times New Roman"/>
              </w:rPr>
              <w:drawing>
                <wp:anchor distT="0" distB="0" distL="114300" distR="114300" simplePos="0" relativeHeight="251662336" behindDoc="1" locked="0" layoutInCell="1" allowOverlap="1">
                  <wp:simplePos x="0" y="0"/>
                  <wp:positionH relativeFrom="column">
                    <wp:posOffset>-610870</wp:posOffset>
                  </wp:positionH>
                  <wp:positionV relativeFrom="paragraph">
                    <wp:posOffset>3531870</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lum contrast="84000"/>
                          </a:blip>
                          <a:stretch>
                            <a:fillRect/>
                          </a:stretch>
                        </pic:blipFill>
                        <pic:spPr>
                          <a:xfrm>
                            <a:off x="2506980" y="541210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jc w:val="center"/>
              <w:rPr>
                <w:rFonts w:hint="eastAsia" w:ascii="Times New Roman" w:hAnsi="Times New Roman" w:eastAsia="宋体" w:cs="Times New Roman"/>
              </w:rPr>
            </w:pPr>
          </w:p>
        </w:tc>
        <w:tc>
          <w:tcPr>
            <w:tcW w:w="2764" w:type="dxa"/>
            <w:tcMar>
              <w:left w:w="113" w:type="dxa"/>
            </w:tcMar>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日期</w:t>
            </w:r>
          </w:p>
        </w:tc>
        <w:tc>
          <w:tcPr>
            <w:tcW w:w="2766" w:type="dxa"/>
            <w:tcMar>
              <w:left w:w="113" w:type="dxa"/>
            </w:tcMar>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2021.11.24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eastAsia="宋体"/>
                      <w:lang w:val="en-US" w:eastAsia="zh-CN"/>
                    </w:rPr>
                    <w:t>天然气供应的风险</w:t>
                  </w:r>
                </w:p>
              </w:tc>
              <w:tc>
                <w:tcPr>
                  <w:tcW w:w="3965" w:type="dxa"/>
                </w:tcPr>
                <w:p>
                  <w:pPr>
                    <w:shd w:val="clear" w:color="auto" w:fill="EBF1DE" w:themeFill="accent3" w:themeFillTint="32"/>
                    <w:rPr>
                      <w:rFonts w:hint="default" w:eastAsia="宋体"/>
                      <w:lang w:val="en-US" w:eastAsia="zh-CN"/>
                    </w:rPr>
                  </w:pPr>
                  <w:r>
                    <w:rPr>
                      <w:rFonts w:hint="eastAsia" w:eastAsia="宋体"/>
                      <w:lang w:val="en-US" w:eastAsia="zh-CN"/>
                    </w:rPr>
                    <w:t>与天然气供应商签订长期合同</w:t>
                  </w:r>
                </w:p>
              </w:tc>
              <w:tc>
                <w:tcPr>
                  <w:tcW w:w="1717" w:type="dxa"/>
                </w:tcPr>
                <w:p>
                  <w:pPr>
                    <w:shd w:val="clear" w:color="auto" w:fill="EBF1DE" w:themeFill="accent3" w:themeFillTint="32"/>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lang w:eastAsia="zh-CN"/>
              </w:rPr>
              <w:t>☑</w:t>
            </w: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pPr>
            <w:r>
              <w:rPr>
                <w:rFonts w:hint="eastAsia"/>
              </w:rPr>
              <w:t>□能源评审报告编号/日期：</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w:t>
            </w:r>
            <w:r>
              <w:rPr>
                <w:rFonts w:hint="eastAsia"/>
                <w:lang w:eastAsia="zh-CN"/>
              </w:rPr>
              <w:t>□</w:t>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19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930"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lang w:val="en-US" w:eastAsia="zh-CN"/>
                    </w:rPr>
                    <w:t>单位产品能耗≦6805.98kgce/万米</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加强生产管理，保持生产稳定；避免经常停车，进行大规模批量生产</w:t>
                  </w:r>
                </w:p>
              </w:tc>
              <w:tc>
                <w:tcPr>
                  <w:tcW w:w="1194"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930"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10612.07kgce/万米</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ascii="Times New Roman" w:hAnsi="Times New Roman" w:eastAsia="宋体" w:cs="Times New Roman"/>
                <w:u w:val="single"/>
                <w:lang w:val="en-US" w:eastAsia="zh-CN"/>
              </w:rPr>
              <w:t xml:space="preserve"> 34000 </w:t>
            </w:r>
            <w:r>
              <w:rPr>
                <w:rFonts w:hint="eastAsia"/>
              </w:rPr>
              <w:t>平方米；生产车间</w:t>
            </w:r>
            <w:r>
              <w:rPr>
                <w:rFonts w:hint="eastAsia"/>
                <w:lang w:val="en-US" w:eastAsia="zh-CN"/>
              </w:rPr>
              <w:t xml:space="preserve"> </w:t>
            </w:r>
            <w:r>
              <w:rPr>
                <w:rFonts w:hint="eastAsia" w:ascii="Times New Roman" w:hAnsi="Times New Roman" w:eastAsia="宋体" w:cs="Times New Roman"/>
                <w:u w:val="single"/>
                <w:lang w:val="en-US" w:eastAsia="zh-CN"/>
              </w:rPr>
              <w:t>6</w:t>
            </w:r>
            <w:r>
              <w:rPr>
                <w:rFonts w:hint="eastAsia"/>
              </w:rPr>
              <w:t>个；库房</w:t>
            </w:r>
            <w:r>
              <w:rPr>
                <w:rFonts w:hint="eastAsia"/>
                <w:u w:val="single"/>
                <w:lang w:val="en-US" w:eastAsia="zh-CN"/>
              </w:rPr>
              <w:t>3</w:t>
            </w:r>
            <w:r>
              <w:rPr>
                <w:rFonts w:hint="eastAsia"/>
              </w:rPr>
              <w:t>个；实验室</w:t>
            </w:r>
            <w:r>
              <w:rPr>
                <w:rFonts w:hint="eastAsia"/>
                <w:u w:val="single"/>
                <w:lang w:val="en-US" w:eastAsia="zh-CN"/>
              </w:rPr>
              <w:t xml:space="preserve">1 </w:t>
            </w:r>
            <w:r>
              <w:rPr>
                <w:rFonts w:hint="eastAsia"/>
              </w:rPr>
              <w:t>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lang w:val="en-US" w:eastAsia="zh-CN"/>
              </w:rPr>
              <w:t>染色机、定型机、烧毛机、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空压机、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杜绝跑冒滴漏、节约用汽</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r>
                    <w:rPr>
                      <w:rFonts w:hint="eastAsia"/>
                      <w:lang w:val="en-US" w:eastAsia="zh-CN"/>
                    </w:rPr>
                    <w:t>杜绝跑冒滴漏、节约用气</w:t>
                  </w:r>
                </w:p>
              </w:tc>
              <w:tc>
                <w:tcPr>
                  <w:tcW w:w="3265" w:type="dxa"/>
                </w:tcPr>
                <w:p>
                  <w:pPr>
                    <w:shd w:val="clear" w:color="auto" w:fill="EBF1DE" w:themeFill="accent3" w:themeFillTint="32"/>
                    <w:jc w:val="left"/>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利用配套的电机，节约用电。</w:t>
                  </w:r>
                </w:p>
              </w:tc>
              <w:tc>
                <w:tcPr>
                  <w:tcW w:w="3265" w:type="dxa"/>
                </w:tcPr>
                <w:p>
                  <w:pPr>
                    <w:shd w:val="clear" w:color="auto" w:fill="EBF1DE" w:themeFill="accent3" w:themeFillTint="32"/>
                    <w:jc w:val="left"/>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8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588"/>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588"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15"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1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588"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15"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1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8"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bookmarkStart w:id="35" w:name="_GoBack"/>
      <w:bookmarkEnd w:id="35"/>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63F1CFA"/>
    <w:rsid w:val="24BF125D"/>
    <w:rsid w:val="24F07386"/>
    <w:rsid w:val="371C23D7"/>
    <w:rsid w:val="46A67136"/>
    <w:rsid w:val="6A3D5A7B"/>
    <w:rsid w:val="78A73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0</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2021-11-28T07:43:50Z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